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35" w:type="dxa"/>
        <w:tblBorders>
          <w:top w:val="single" w:sz="8" w:space="0" w:color="5B9BD5"/>
          <w:bottom w:val="single" w:sz="8" w:space="0" w:color="5B9BD5"/>
        </w:tblBorders>
        <w:shd w:val="clear" w:color="auto" w:fill="F2F2F2"/>
        <w:tblLook w:val="04A0" w:firstRow="1" w:lastRow="0" w:firstColumn="1" w:lastColumn="0" w:noHBand="0" w:noVBand="1"/>
      </w:tblPr>
      <w:tblGrid>
        <w:gridCol w:w="9889"/>
      </w:tblGrid>
      <w:tr w:rsidR="00235E72" w:rsidRPr="00171BAB" w:rsidTr="00235E72">
        <w:trPr>
          <w:trHeight w:val="776"/>
          <w:jc w:val="center"/>
        </w:trPr>
        <w:tc>
          <w:tcPr>
            <w:tcW w:w="9889" w:type="dxa"/>
            <w:tcBorders>
              <w:top w:val="single" w:sz="8" w:space="0" w:color="5B9BD5"/>
              <w:bottom w:val="single" w:sz="8" w:space="0" w:color="5B9BD5"/>
            </w:tcBorders>
            <w:shd w:val="clear" w:color="auto" w:fill="F2F2F2"/>
          </w:tcPr>
          <w:p w:rsidR="00235E72" w:rsidRPr="00171BAB" w:rsidRDefault="00235E72" w:rsidP="00235E72">
            <w:pPr>
              <w:pStyle w:val="NoSpacing"/>
              <w:spacing w:after="120"/>
              <w:jc w:val="center"/>
              <w:rPr>
                <w:rFonts w:ascii="Cambria" w:hAnsi="Cambria"/>
                <w:b/>
                <w:bCs/>
                <w:color w:val="0070C0"/>
                <w:sz w:val="18"/>
                <w:szCs w:val="16"/>
                <w:lang w:val="en-ID"/>
              </w:rPr>
            </w:pPr>
            <w:r w:rsidRPr="00171BAB">
              <w:rPr>
                <w:rFonts w:ascii="Cambria" w:hAnsi="Cambria"/>
                <w:b/>
                <w:bCs/>
                <w:noProof/>
                <w:color w:val="2E74B5"/>
                <w:lang w:eastAsia="en-IN"/>
              </w:rPr>
              <w:drawing>
                <wp:anchor distT="0" distB="0" distL="114300" distR="128524" simplePos="0" relativeHeight="251659264" behindDoc="0" locked="0" layoutInCell="1" allowOverlap="1" wp14:anchorId="287BA439" wp14:editId="2A57E6B7">
                  <wp:simplePos x="0" y="0"/>
                  <wp:positionH relativeFrom="column">
                    <wp:posOffset>5365750</wp:posOffset>
                  </wp:positionH>
                  <wp:positionV relativeFrom="paragraph">
                    <wp:posOffset>15240</wp:posOffset>
                  </wp:positionV>
                  <wp:extent cx="839597" cy="1001395"/>
                  <wp:effectExtent l="0" t="0" r="0" b="0"/>
                  <wp:wrapSquare wrapText="bothSides"/>
                  <wp:docPr id="9" name="Picture 9" descr="Description: Description: Description: Description: Description: Description: Description: l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Description: Description: Description: Description: Description: Description: lp (2)"/>
                          <pic:cNvPicPr>
                            <a:picLocks noChangeAspect="1" noChangeArrowheads="1"/>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83947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BAB">
              <w:rPr>
                <w:rFonts w:ascii="Cambria" w:hAnsi="Cambria"/>
                <w:b/>
                <w:bCs/>
                <w:noProof/>
                <w:color w:val="2E74B5"/>
                <w:lang w:eastAsia="en-IN"/>
              </w:rPr>
              <w:drawing>
                <wp:anchor distT="0" distB="0" distL="114300" distR="114300" simplePos="0" relativeHeight="251660288" behindDoc="0" locked="0" layoutInCell="1" allowOverlap="1" wp14:anchorId="093AC350" wp14:editId="2E639CD2">
                  <wp:simplePos x="0" y="0"/>
                  <wp:positionH relativeFrom="column">
                    <wp:posOffset>-50800</wp:posOffset>
                  </wp:positionH>
                  <wp:positionV relativeFrom="paragraph">
                    <wp:posOffset>24130</wp:posOffset>
                  </wp:positionV>
                  <wp:extent cx="1002030" cy="1002030"/>
                  <wp:effectExtent l="0" t="0" r="0" b="0"/>
                  <wp:wrapSquare wrapText="bothSides"/>
                  <wp:docPr id="8" name="Picture 8" descr="Description: Description: Description: Description: Description: Description: Description: Description: C:\Users\Ram Chand Dhakar\Downloads\JDD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Description: Description: Description: Description: Description: C:\Users\Ram Chand Dhakar\Downloads\JDDT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BAB">
              <w:rPr>
                <w:rFonts w:ascii="Cambria" w:hAnsi="Cambria"/>
                <w:color w:val="0070C0"/>
                <w:sz w:val="18"/>
                <w:szCs w:val="16"/>
                <w:lang w:val="en-ID"/>
              </w:rPr>
              <w:t xml:space="preserve">Available online on 15.04.2021 at </w:t>
            </w:r>
            <w:hyperlink r:id="rId11" w:history="1">
              <w:r w:rsidRPr="00171BAB">
                <w:rPr>
                  <w:rFonts w:ascii="Cambria" w:hAnsi="Cambria"/>
                  <w:color w:val="0070C0"/>
                  <w:sz w:val="18"/>
                  <w:szCs w:val="16"/>
                  <w:lang w:val="en-ID"/>
                </w:rPr>
                <w:t>http://jddtonline.info</w:t>
              </w:r>
            </w:hyperlink>
          </w:p>
          <w:p w:rsidR="00235E72" w:rsidRPr="00171BAB" w:rsidRDefault="00235E72" w:rsidP="00235E72">
            <w:pPr>
              <w:pStyle w:val="NoSpacing"/>
              <w:spacing w:after="120"/>
              <w:jc w:val="center"/>
              <w:rPr>
                <w:rFonts w:ascii="Cambria" w:hAnsi="Cambria"/>
                <w:b/>
                <w:bCs/>
                <w:color w:val="0070C0"/>
                <w:sz w:val="32"/>
                <w:szCs w:val="32"/>
                <w:lang w:val="en-ID"/>
              </w:rPr>
            </w:pPr>
            <w:r w:rsidRPr="00171BAB">
              <w:rPr>
                <w:rFonts w:ascii="Cambria" w:hAnsi="Cambria"/>
                <w:color w:val="0070C0"/>
                <w:sz w:val="32"/>
                <w:szCs w:val="32"/>
                <w:lang w:val="en-ID"/>
              </w:rPr>
              <w:t>Journal of Drug Delivery and Therapeutics</w:t>
            </w:r>
          </w:p>
          <w:p w:rsidR="00235E72" w:rsidRPr="00171BAB" w:rsidRDefault="00235E72" w:rsidP="00235E72">
            <w:pPr>
              <w:pStyle w:val="NoSpacing"/>
              <w:spacing w:after="120"/>
              <w:jc w:val="center"/>
              <w:rPr>
                <w:rFonts w:ascii="Cambria" w:hAnsi="Cambria"/>
                <w:b/>
                <w:bCs/>
                <w:color w:val="0070C0"/>
                <w:sz w:val="16"/>
                <w:szCs w:val="16"/>
                <w:lang w:val="en-ID"/>
              </w:rPr>
            </w:pPr>
            <w:r w:rsidRPr="00171BAB">
              <w:rPr>
                <w:rFonts w:ascii="Cambria" w:hAnsi="Cambria"/>
                <w:color w:val="0070C0"/>
                <w:sz w:val="16"/>
                <w:szCs w:val="16"/>
                <w:lang w:val="en-ID"/>
              </w:rPr>
              <w:t>Open Access to Pharmaceutical and Medical Research</w:t>
            </w:r>
          </w:p>
          <w:p w:rsidR="00235E72" w:rsidRPr="00171BAB" w:rsidRDefault="00235E72" w:rsidP="00235E72">
            <w:pPr>
              <w:pStyle w:val="NoSpacing"/>
              <w:spacing w:after="120"/>
              <w:jc w:val="center"/>
              <w:rPr>
                <w:rFonts w:ascii="Cambria" w:hAnsi="Cambria"/>
                <w:b/>
                <w:bCs/>
                <w:iCs/>
                <w:color w:val="E36C0A"/>
                <w:szCs w:val="26"/>
                <w:lang w:val="en-ID"/>
              </w:rPr>
            </w:pPr>
            <w:r w:rsidRPr="00171BAB">
              <w:rPr>
                <w:rFonts w:ascii="Cambria" w:hAnsi="Cambria"/>
                <w:color w:val="0070C0"/>
                <w:sz w:val="16"/>
                <w:szCs w:val="16"/>
                <w:lang w:val="en-ID"/>
              </w:rPr>
              <w:t>© 2011-21, publisher and licensee JDDT, This is an Open Access article which permits unrestricted non-commercial use(CC By-NC), provided the original work is properly cited</w:t>
            </w:r>
          </w:p>
        </w:tc>
      </w:tr>
    </w:tbl>
    <w:p w:rsidR="00235E72" w:rsidRPr="00171BAB" w:rsidRDefault="00235E72" w:rsidP="00235E72">
      <w:pPr>
        <w:pStyle w:val="Default"/>
        <w:spacing w:before="120" w:after="120"/>
        <w:rPr>
          <w:rFonts w:ascii="Cambria" w:hAnsi="Cambria"/>
          <w:color w:val="C0504D"/>
        </w:rPr>
      </w:pPr>
      <w:r w:rsidRPr="00171BAB">
        <w:rPr>
          <w:rFonts w:ascii="Cambria" w:hAnsi="Cambria"/>
          <w:bCs/>
          <w:i/>
          <w:iCs/>
          <w:color w:val="C0504D"/>
          <w:sz w:val="14"/>
          <w:szCs w:val="26"/>
        </w:rPr>
        <w:t>Open</w:t>
      </w:r>
      <w:r w:rsidRPr="00171BAB">
        <w:rPr>
          <w:rFonts w:ascii="Cambria" w:hAnsi="Cambria"/>
          <w:i/>
          <w:noProof/>
          <w:color w:val="C0504D"/>
          <w:sz w:val="14"/>
          <w:szCs w:val="26"/>
          <w:lang w:val="en-IN" w:eastAsia="en-IN"/>
        </w:rPr>
        <w:drawing>
          <wp:inline distT="0" distB="0" distL="0" distR="0" wp14:anchorId="3E83E614" wp14:editId="651E532C">
            <wp:extent cx="1778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279400"/>
                    </a:xfrm>
                    <a:prstGeom prst="rect">
                      <a:avLst/>
                    </a:prstGeom>
                    <a:noFill/>
                    <a:ln>
                      <a:noFill/>
                    </a:ln>
                  </pic:spPr>
                </pic:pic>
              </a:graphicData>
            </a:graphic>
          </wp:inline>
        </w:drawing>
      </w:r>
      <w:r w:rsidRPr="00171BAB">
        <w:rPr>
          <w:rFonts w:ascii="Cambria" w:hAnsi="Cambria"/>
          <w:bCs/>
          <w:i/>
          <w:iCs/>
          <w:color w:val="C0504D"/>
          <w:sz w:val="14"/>
          <w:szCs w:val="26"/>
        </w:rPr>
        <w:t xml:space="preserve"> </w:t>
      </w:r>
      <w:proofErr w:type="gramStart"/>
      <w:r w:rsidRPr="00171BAB">
        <w:rPr>
          <w:rFonts w:ascii="Cambria" w:hAnsi="Cambria"/>
          <w:bCs/>
          <w:i/>
          <w:iCs/>
          <w:color w:val="C0504D"/>
          <w:sz w:val="14"/>
          <w:szCs w:val="26"/>
        </w:rPr>
        <w:t>Access  Full</w:t>
      </w:r>
      <w:proofErr w:type="gramEnd"/>
      <w:r w:rsidRPr="00171BAB">
        <w:rPr>
          <w:rFonts w:ascii="Cambria" w:hAnsi="Cambria"/>
          <w:bCs/>
          <w:i/>
          <w:iCs/>
          <w:color w:val="C0504D"/>
          <w:sz w:val="14"/>
          <w:szCs w:val="26"/>
        </w:rPr>
        <w:t xml:space="preserve"> Text Article                                                                               </w:t>
      </w:r>
      <w:r w:rsidRPr="00171BAB">
        <w:rPr>
          <w:rFonts w:ascii="Cambria" w:hAnsi="Cambria"/>
          <w:noProof/>
          <w:color w:val="C0504D"/>
          <w:lang w:val="en-IN" w:eastAsia="en-IN"/>
        </w:rPr>
        <w:drawing>
          <wp:inline distT="0" distB="0" distL="0" distR="0" wp14:anchorId="5769AAE1" wp14:editId="0BCD6929">
            <wp:extent cx="679450" cy="254000"/>
            <wp:effectExtent l="0" t="0" r="0" b="0"/>
            <wp:docPr id="4" name="Picture 4" descr="Description: 6 Creative Commons Licenses you must know to avoid any copyright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6 Creative Commons Licenses you must know to avoid any copyright issu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450" cy="254000"/>
                    </a:xfrm>
                    <a:prstGeom prst="rect">
                      <a:avLst/>
                    </a:prstGeom>
                    <a:noFill/>
                    <a:ln>
                      <a:noFill/>
                    </a:ln>
                  </pic:spPr>
                </pic:pic>
              </a:graphicData>
            </a:graphic>
          </wp:inline>
        </w:drawing>
      </w:r>
      <w:r w:rsidRPr="00171BAB">
        <w:rPr>
          <w:rFonts w:ascii="Cambria" w:hAnsi="Cambria"/>
          <w:b/>
          <w:bCs/>
          <w:iCs/>
          <w:color w:val="C0504D"/>
          <w:sz w:val="22"/>
          <w:szCs w:val="26"/>
        </w:rPr>
        <w:t xml:space="preserve">                                                           </w:t>
      </w:r>
      <w:r w:rsidRPr="00171BAB">
        <w:rPr>
          <w:rFonts w:ascii="Cambria" w:hAnsi="Cambria"/>
          <w:bCs/>
          <w:iCs/>
          <w:color w:val="C0504D"/>
          <w:sz w:val="22"/>
          <w:szCs w:val="26"/>
        </w:rPr>
        <w:t xml:space="preserve">Research Paper </w:t>
      </w:r>
    </w:p>
    <w:p w:rsidR="00235E72" w:rsidRPr="00171BAB" w:rsidRDefault="00235E72" w:rsidP="00235E72">
      <w:pPr>
        <w:autoSpaceDE w:val="0"/>
        <w:autoSpaceDN w:val="0"/>
        <w:adjustRightInd w:val="0"/>
        <w:spacing w:after="120" w:line="240" w:lineRule="auto"/>
        <w:rPr>
          <w:rFonts w:ascii="Cambria" w:eastAsia="Times New Roman" w:hAnsi="Cambria" w:cs="Times New Roman"/>
          <w:color w:val="007093"/>
          <w:kern w:val="24"/>
          <w:sz w:val="32"/>
          <w:szCs w:val="30"/>
          <w:lang w:val="en-US"/>
        </w:rPr>
      </w:pPr>
      <w:r w:rsidRPr="00171BAB">
        <w:rPr>
          <w:rFonts w:ascii="Cambria" w:eastAsia="Times New Roman" w:hAnsi="Cambria" w:cs="Times New Roman"/>
          <w:color w:val="007093"/>
          <w:kern w:val="24"/>
          <w:sz w:val="32"/>
          <w:szCs w:val="30"/>
          <w:lang w:val="en-US"/>
        </w:rPr>
        <w:t xml:space="preserve">Development and Validation of Q-Absorbance Ratio by UV-Spectrophotometric Method for Simultaneous Estimation of Metformin and </w:t>
      </w:r>
      <w:proofErr w:type="spellStart"/>
      <w:r w:rsidRPr="00171BAB">
        <w:rPr>
          <w:rFonts w:ascii="Cambria" w:eastAsia="Times New Roman" w:hAnsi="Cambria" w:cs="Times New Roman"/>
          <w:color w:val="007093"/>
          <w:kern w:val="24"/>
          <w:sz w:val="32"/>
          <w:szCs w:val="30"/>
          <w:lang w:val="en-US"/>
        </w:rPr>
        <w:t>Empagliflozin</w:t>
      </w:r>
      <w:proofErr w:type="spellEnd"/>
      <w:r w:rsidRPr="00171BAB">
        <w:rPr>
          <w:rFonts w:ascii="Cambria" w:eastAsia="Times New Roman" w:hAnsi="Cambria" w:cs="Times New Roman"/>
          <w:color w:val="007093"/>
          <w:kern w:val="24"/>
          <w:sz w:val="32"/>
          <w:szCs w:val="30"/>
          <w:lang w:val="en-US"/>
        </w:rPr>
        <w:t xml:space="preserve"> in Bulk and Combined Dosage Form</w:t>
      </w:r>
    </w:p>
    <w:p w:rsidR="00235E72" w:rsidRPr="00171BAB" w:rsidRDefault="00235E72" w:rsidP="00235E72">
      <w:pPr>
        <w:spacing w:after="120" w:line="240" w:lineRule="auto"/>
        <w:rPr>
          <w:rFonts w:ascii="Cambria" w:hAnsi="Cambria" w:cs="Times New Roman"/>
          <w:szCs w:val="18"/>
        </w:rPr>
      </w:pPr>
      <w:proofErr w:type="spellStart"/>
      <w:r w:rsidRPr="00171BAB">
        <w:rPr>
          <w:rFonts w:ascii="Cambria" w:hAnsi="Cambria" w:cs="Times New Roman"/>
          <w:szCs w:val="18"/>
        </w:rPr>
        <w:t>Pushpendra</w:t>
      </w:r>
      <w:proofErr w:type="spellEnd"/>
      <w:r w:rsidRPr="00171BAB">
        <w:rPr>
          <w:rFonts w:ascii="Cambria" w:hAnsi="Cambria" w:cs="Times New Roman"/>
          <w:szCs w:val="18"/>
        </w:rPr>
        <w:t xml:space="preserve"> Sharma, </w:t>
      </w:r>
      <w:proofErr w:type="spellStart"/>
      <w:r w:rsidRPr="00171BAB">
        <w:rPr>
          <w:rFonts w:ascii="Cambria" w:hAnsi="Cambria" w:cs="Times New Roman"/>
          <w:szCs w:val="18"/>
        </w:rPr>
        <w:t>Srinivasarao</w:t>
      </w:r>
      <w:proofErr w:type="spellEnd"/>
      <w:r w:rsidRPr="00171BAB">
        <w:rPr>
          <w:rFonts w:ascii="Cambria" w:hAnsi="Cambria" w:cs="Times New Roman"/>
          <w:szCs w:val="18"/>
        </w:rPr>
        <w:t xml:space="preserve"> </w:t>
      </w:r>
      <w:proofErr w:type="spellStart"/>
      <w:r w:rsidRPr="00171BAB">
        <w:rPr>
          <w:rFonts w:ascii="Cambria" w:hAnsi="Cambria" w:cs="Times New Roman"/>
          <w:szCs w:val="18"/>
        </w:rPr>
        <w:t>Kosanam</w:t>
      </w:r>
      <w:proofErr w:type="spellEnd"/>
      <w:r w:rsidRPr="00171BAB">
        <w:rPr>
          <w:rFonts w:ascii="Cambria" w:hAnsi="Cambria" w:cs="Times New Roman"/>
          <w:szCs w:val="18"/>
        </w:rPr>
        <w:t xml:space="preserve">*, </w:t>
      </w:r>
      <w:proofErr w:type="spellStart"/>
      <w:r w:rsidRPr="00171BAB">
        <w:rPr>
          <w:rFonts w:ascii="Cambria" w:hAnsi="Cambria" w:cs="Times New Roman"/>
          <w:szCs w:val="18"/>
        </w:rPr>
        <w:t>Surendra</w:t>
      </w:r>
      <w:proofErr w:type="spellEnd"/>
      <w:r w:rsidRPr="00171BAB">
        <w:rPr>
          <w:rFonts w:ascii="Cambria" w:hAnsi="Cambria" w:cs="Times New Roman"/>
          <w:szCs w:val="18"/>
        </w:rPr>
        <w:t xml:space="preserve"> Singh </w:t>
      </w:r>
      <w:proofErr w:type="spellStart"/>
      <w:r w:rsidRPr="00171BAB">
        <w:rPr>
          <w:rFonts w:ascii="Cambria" w:hAnsi="Cambria" w:cs="Times New Roman"/>
          <w:szCs w:val="18"/>
        </w:rPr>
        <w:t>Rao</w:t>
      </w:r>
      <w:proofErr w:type="spellEnd"/>
    </w:p>
    <w:p w:rsidR="00235E72" w:rsidRPr="00171BAB" w:rsidRDefault="00235E72" w:rsidP="00235E72">
      <w:pPr>
        <w:autoSpaceDE w:val="0"/>
        <w:autoSpaceDN w:val="0"/>
        <w:adjustRightInd w:val="0"/>
        <w:spacing w:after="120" w:line="240" w:lineRule="auto"/>
        <w:rPr>
          <w:rFonts w:ascii="Cambria" w:hAnsi="Cambria" w:cs="Times New Roman"/>
          <w:bCs/>
          <w:i/>
          <w:sz w:val="16"/>
          <w:szCs w:val="18"/>
        </w:rPr>
      </w:pPr>
      <w:r w:rsidRPr="00171BAB">
        <w:rPr>
          <w:rFonts w:ascii="Cambria" w:hAnsi="Cambria" w:cs="Times New Roman"/>
          <w:i/>
          <w:sz w:val="16"/>
          <w:szCs w:val="18"/>
        </w:rPr>
        <w:t xml:space="preserve">Department </w:t>
      </w:r>
      <w:r w:rsidRPr="00171BAB">
        <w:rPr>
          <w:rFonts w:ascii="Cambria" w:hAnsi="Cambria" w:cs="Times New Roman"/>
          <w:bCs/>
          <w:i/>
          <w:sz w:val="16"/>
          <w:szCs w:val="18"/>
        </w:rPr>
        <w:t xml:space="preserve">of Science, Sri </w:t>
      </w:r>
      <w:proofErr w:type="spellStart"/>
      <w:r w:rsidRPr="00171BAB">
        <w:rPr>
          <w:rFonts w:ascii="Cambria" w:hAnsi="Cambria" w:cs="Times New Roman"/>
          <w:bCs/>
          <w:i/>
          <w:sz w:val="16"/>
          <w:szCs w:val="18"/>
        </w:rPr>
        <w:t>Satya</w:t>
      </w:r>
      <w:proofErr w:type="spellEnd"/>
      <w:r w:rsidRPr="00171BAB">
        <w:rPr>
          <w:rFonts w:ascii="Cambria" w:hAnsi="Cambria" w:cs="Times New Roman"/>
          <w:bCs/>
          <w:i/>
          <w:sz w:val="16"/>
          <w:szCs w:val="18"/>
        </w:rPr>
        <w:t xml:space="preserve"> </w:t>
      </w:r>
      <w:proofErr w:type="spellStart"/>
      <w:r w:rsidRPr="00171BAB">
        <w:rPr>
          <w:rFonts w:ascii="Cambria" w:hAnsi="Cambria" w:cs="Times New Roman"/>
          <w:bCs/>
          <w:i/>
          <w:sz w:val="16"/>
          <w:szCs w:val="18"/>
        </w:rPr>
        <w:t>Sai</w:t>
      </w:r>
      <w:proofErr w:type="spellEnd"/>
      <w:r w:rsidRPr="00171BAB">
        <w:rPr>
          <w:rFonts w:ascii="Cambria" w:hAnsi="Cambria" w:cs="Times New Roman"/>
          <w:bCs/>
          <w:i/>
          <w:sz w:val="16"/>
          <w:szCs w:val="18"/>
        </w:rPr>
        <w:t xml:space="preserve"> University of Technology and Medical Sciences, </w:t>
      </w:r>
      <w:proofErr w:type="spellStart"/>
      <w:r w:rsidRPr="00171BAB">
        <w:rPr>
          <w:rFonts w:ascii="Cambria" w:hAnsi="Cambria" w:cs="Times New Roman"/>
          <w:bCs/>
          <w:i/>
          <w:sz w:val="16"/>
          <w:szCs w:val="18"/>
        </w:rPr>
        <w:t>Sehore</w:t>
      </w:r>
      <w:proofErr w:type="spellEnd"/>
      <w:r w:rsidRPr="00171BAB">
        <w:rPr>
          <w:rFonts w:ascii="Cambria" w:hAnsi="Cambria" w:cs="Times New Roman"/>
          <w:bCs/>
          <w:i/>
          <w:sz w:val="16"/>
          <w:szCs w:val="18"/>
        </w:rPr>
        <w:t>- (MP) - 466001</w:t>
      </w:r>
    </w:p>
    <w:p w:rsidR="00235E72" w:rsidRPr="00171BAB" w:rsidRDefault="00235E72" w:rsidP="00235E72">
      <w:pPr>
        <w:pStyle w:val="NoSpacing"/>
        <w:spacing w:after="120"/>
        <w:rPr>
          <w:rFonts w:ascii="Cambria" w:hAnsi="Cambria"/>
          <w:sz w:val="16"/>
          <w:szCs w:val="18"/>
          <w:lang w:val="en-ID"/>
        </w:rPr>
      </w:pPr>
    </w:p>
    <w:tbl>
      <w:tblPr>
        <w:tblW w:w="0" w:type="auto"/>
        <w:jc w:val="center"/>
        <w:tblBorders>
          <w:top w:val="single" w:sz="8" w:space="0" w:color="5B9BD5"/>
          <w:bottom w:val="single" w:sz="8" w:space="0" w:color="5B9BD5"/>
        </w:tblBorders>
        <w:tblLayout w:type="fixed"/>
        <w:tblLook w:val="04A0" w:firstRow="1" w:lastRow="0" w:firstColumn="1" w:lastColumn="0" w:noHBand="0" w:noVBand="1"/>
      </w:tblPr>
      <w:tblGrid>
        <w:gridCol w:w="3443"/>
        <w:gridCol w:w="6446"/>
      </w:tblGrid>
      <w:tr w:rsidR="00235E72" w:rsidRPr="00171BAB" w:rsidTr="00235E72">
        <w:trPr>
          <w:trHeight w:val="635"/>
          <w:jc w:val="center"/>
        </w:trPr>
        <w:tc>
          <w:tcPr>
            <w:tcW w:w="3443" w:type="dxa"/>
            <w:tcBorders>
              <w:top w:val="single" w:sz="8" w:space="0" w:color="5B9BD5"/>
            </w:tcBorders>
            <w:shd w:val="clear" w:color="auto" w:fill="F2F2F2"/>
          </w:tcPr>
          <w:p w:rsidR="00235E72" w:rsidRPr="00171BAB" w:rsidRDefault="00235E72" w:rsidP="00235E72">
            <w:pPr>
              <w:pStyle w:val="BodyText"/>
              <w:ind w:left="0"/>
              <w:contextualSpacing/>
              <w:jc w:val="both"/>
              <w:rPr>
                <w:rFonts w:ascii="Cambria" w:eastAsia="Calibri" w:hAnsi="Cambria" w:cs="Times New Roman"/>
                <w:b/>
                <w:bCs/>
                <w:color w:val="0070C0"/>
                <w:sz w:val="20"/>
                <w:szCs w:val="16"/>
              </w:rPr>
            </w:pPr>
            <w:r w:rsidRPr="00171BAB">
              <w:rPr>
                <w:rFonts w:ascii="Cambria" w:eastAsia="Calibri" w:hAnsi="Cambria" w:cs="Times New Roman"/>
                <w:color w:val="0070C0"/>
                <w:sz w:val="20"/>
                <w:szCs w:val="16"/>
              </w:rPr>
              <w:t>Article Info:</w:t>
            </w:r>
          </w:p>
          <w:p w:rsidR="00235E72" w:rsidRPr="00171BAB" w:rsidRDefault="00235E72" w:rsidP="00235E72">
            <w:pPr>
              <w:pStyle w:val="BodyText"/>
              <w:ind w:left="0"/>
              <w:jc w:val="both"/>
              <w:rPr>
                <w:rFonts w:ascii="Cambria" w:eastAsia="Calibri" w:hAnsi="Cambria" w:cs="Times New Roman"/>
                <w:b/>
                <w:bCs/>
                <w:color w:val="0070C0"/>
                <w:sz w:val="20"/>
                <w:szCs w:val="16"/>
              </w:rPr>
            </w:pPr>
            <w:r w:rsidRPr="00171BAB">
              <w:rPr>
                <w:rFonts w:ascii="Cambria" w:eastAsia="Calibri" w:hAnsi="Cambria" w:cs="Times New Roman"/>
                <w:color w:val="0070C0"/>
                <w:sz w:val="20"/>
                <w:szCs w:val="16"/>
              </w:rPr>
              <w:t>_____________</w:t>
            </w:r>
            <w:r w:rsidRPr="00171BAB">
              <w:rPr>
                <w:rFonts w:ascii="Cambria" w:eastAsia="Calibri" w:hAnsi="Cambria" w:cs="Times New Roman"/>
                <w:bCs/>
                <w:color w:val="0070C0"/>
                <w:sz w:val="20"/>
                <w:szCs w:val="16"/>
              </w:rPr>
              <w:t>____________________________</w:t>
            </w:r>
          </w:p>
          <w:p w:rsidR="00235E72" w:rsidRPr="00171BAB" w:rsidRDefault="00235E72" w:rsidP="00235E72">
            <w:pPr>
              <w:pStyle w:val="NoSpacing"/>
              <w:spacing w:after="120"/>
              <w:rPr>
                <w:rFonts w:ascii="Cambria" w:hAnsi="Cambria"/>
                <w:b/>
                <w:bCs/>
                <w:color w:val="31849B"/>
                <w:sz w:val="18"/>
                <w:szCs w:val="16"/>
                <w:lang w:val="en-ID" w:bidi="hi-IN"/>
              </w:rPr>
            </w:pPr>
            <w:r w:rsidRPr="00171BAB">
              <w:rPr>
                <w:rFonts w:ascii="Cambria" w:hAnsi="Cambria"/>
                <w:color w:val="31849B"/>
                <w:sz w:val="18"/>
                <w:szCs w:val="16"/>
                <w:lang w:val="en-ID" w:bidi="hi-IN"/>
              </w:rPr>
              <w:t>Article History:</w:t>
            </w:r>
          </w:p>
          <w:p w:rsidR="00235E72" w:rsidRPr="00171BAB" w:rsidRDefault="00235E72" w:rsidP="00235E72">
            <w:pPr>
              <w:pStyle w:val="NoSpacing"/>
              <w:rPr>
                <w:rFonts w:ascii="Cambria" w:hAnsi="Cambria"/>
                <w:bCs/>
                <w:color w:val="000000"/>
                <w:sz w:val="14"/>
                <w:szCs w:val="14"/>
                <w:lang w:val="en-ID"/>
              </w:rPr>
            </w:pPr>
            <w:r w:rsidRPr="00171BAB">
              <w:rPr>
                <w:rFonts w:ascii="Cambria" w:hAnsi="Cambria"/>
                <w:bCs/>
                <w:color w:val="000000"/>
                <w:sz w:val="14"/>
                <w:szCs w:val="14"/>
                <w:lang w:val="en-ID"/>
              </w:rPr>
              <w:t xml:space="preserve">Received 04 Feb 2021      </w:t>
            </w:r>
          </w:p>
          <w:p w:rsidR="00235E72" w:rsidRPr="00171BAB" w:rsidRDefault="00235E72" w:rsidP="00235E72">
            <w:pPr>
              <w:pStyle w:val="NoSpacing"/>
              <w:rPr>
                <w:rFonts w:ascii="Cambria" w:hAnsi="Cambria"/>
                <w:bCs/>
                <w:color w:val="000000"/>
                <w:sz w:val="14"/>
                <w:szCs w:val="14"/>
                <w:lang w:val="en-ID"/>
              </w:rPr>
            </w:pPr>
            <w:r w:rsidRPr="00171BAB">
              <w:rPr>
                <w:rFonts w:ascii="Cambria" w:hAnsi="Cambria"/>
                <w:bCs/>
                <w:color w:val="000000"/>
                <w:sz w:val="14"/>
                <w:szCs w:val="14"/>
                <w:lang w:val="en-ID"/>
              </w:rPr>
              <w:t>Review Completed 14 March 2021</w:t>
            </w:r>
          </w:p>
          <w:p w:rsidR="00235E72" w:rsidRPr="00171BAB" w:rsidRDefault="00235E72" w:rsidP="00235E72">
            <w:pPr>
              <w:pStyle w:val="NoSpacing"/>
              <w:rPr>
                <w:rFonts w:ascii="Cambria" w:hAnsi="Cambria"/>
                <w:bCs/>
                <w:color w:val="000000"/>
                <w:sz w:val="14"/>
                <w:szCs w:val="14"/>
                <w:lang w:val="en-ID"/>
              </w:rPr>
            </w:pPr>
            <w:r w:rsidRPr="00171BAB">
              <w:rPr>
                <w:rFonts w:ascii="Cambria" w:hAnsi="Cambria"/>
                <w:bCs/>
                <w:color w:val="000000"/>
                <w:sz w:val="14"/>
                <w:szCs w:val="14"/>
                <w:lang w:val="en-ID"/>
              </w:rPr>
              <w:t xml:space="preserve">Accepted 19 March 2021 </w:t>
            </w:r>
          </w:p>
          <w:p w:rsidR="00235E72" w:rsidRPr="00171BAB" w:rsidRDefault="00235E72" w:rsidP="00235E72">
            <w:pPr>
              <w:pStyle w:val="NoSpacing"/>
              <w:rPr>
                <w:rFonts w:ascii="Cambria" w:hAnsi="Cambria"/>
                <w:bCs/>
                <w:color w:val="000000"/>
                <w:sz w:val="14"/>
                <w:szCs w:val="14"/>
                <w:lang w:val="en-ID"/>
              </w:rPr>
            </w:pPr>
            <w:r w:rsidRPr="00171BAB">
              <w:rPr>
                <w:rFonts w:ascii="Cambria" w:hAnsi="Cambria"/>
                <w:bCs/>
                <w:color w:val="000000"/>
                <w:sz w:val="14"/>
                <w:szCs w:val="14"/>
                <w:lang w:val="en-ID"/>
              </w:rPr>
              <w:t xml:space="preserve">Available online 15 April 2021  </w:t>
            </w:r>
          </w:p>
          <w:p w:rsidR="00235E72" w:rsidRPr="00171BAB" w:rsidRDefault="00235E72" w:rsidP="00235E72">
            <w:pPr>
              <w:pStyle w:val="BodyText"/>
              <w:ind w:left="0"/>
              <w:jc w:val="both"/>
              <w:rPr>
                <w:rFonts w:ascii="Cambria" w:eastAsia="Calibri" w:hAnsi="Cambria" w:cs="Times New Roman"/>
                <w:b/>
                <w:bCs/>
                <w:color w:val="0070C0"/>
                <w:sz w:val="14"/>
                <w:szCs w:val="14"/>
              </w:rPr>
            </w:pPr>
            <w:r w:rsidRPr="00171BAB">
              <w:rPr>
                <w:rFonts w:ascii="Cambria" w:hAnsi="Cambria" w:cs="Times New Roman"/>
                <w:b/>
                <w:noProof/>
                <w:sz w:val="16"/>
                <w:szCs w:val="18"/>
                <w:lang w:val="en-IN" w:eastAsia="en-IN"/>
              </w:rPr>
              <w:drawing>
                <wp:anchor distT="0" distB="0" distL="114300" distR="114300" simplePos="0" relativeHeight="251662336" behindDoc="0" locked="0" layoutInCell="1" allowOverlap="1" wp14:anchorId="62480131" wp14:editId="7F629096">
                  <wp:simplePos x="0" y="0"/>
                  <wp:positionH relativeFrom="column">
                    <wp:posOffset>-13335</wp:posOffset>
                  </wp:positionH>
                  <wp:positionV relativeFrom="paragraph">
                    <wp:posOffset>-614045</wp:posOffset>
                  </wp:positionV>
                  <wp:extent cx="608330" cy="611505"/>
                  <wp:effectExtent l="0" t="0" r="0" b="0"/>
                  <wp:wrapSquare wrapText="bothSides"/>
                  <wp:docPr id="2" name="Picture 2" descr="C:\Users\91978\Downloads\fra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978\Downloads\frame (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000" t="9779" r="10444" b="10222"/>
                          <a:stretch/>
                        </pic:blipFill>
                        <pic:spPr bwMode="auto">
                          <a:xfrm>
                            <a:off x="0" y="0"/>
                            <a:ext cx="608330"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1BAB">
              <w:rPr>
                <w:rFonts w:ascii="Cambria" w:eastAsia="Calibri" w:hAnsi="Cambria" w:cs="Times New Roman"/>
                <w:color w:val="0070C0"/>
                <w:sz w:val="14"/>
                <w:szCs w:val="14"/>
              </w:rPr>
              <w:t>___________________________________________</w:t>
            </w:r>
            <w:r w:rsidRPr="00171BAB">
              <w:rPr>
                <w:rFonts w:ascii="Cambria" w:eastAsia="Calibri" w:hAnsi="Cambria" w:cs="Times New Roman"/>
                <w:b/>
                <w:bCs/>
                <w:color w:val="0070C0"/>
                <w:sz w:val="14"/>
                <w:szCs w:val="14"/>
              </w:rPr>
              <w:t>________________</w:t>
            </w:r>
          </w:p>
          <w:p w:rsidR="00235E72" w:rsidRPr="00171BAB" w:rsidRDefault="00235E72" w:rsidP="00235E72">
            <w:pPr>
              <w:pStyle w:val="BodyText"/>
              <w:spacing w:after="120"/>
              <w:ind w:left="0"/>
              <w:jc w:val="both"/>
              <w:rPr>
                <w:rFonts w:ascii="Cambria" w:eastAsia="Calibri" w:hAnsi="Cambria" w:cs="Times New Roman"/>
                <w:b/>
                <w:bCs/>
                <w:color w:val="31849B"/>
                <w:sz w:val="18"/>
                <w:szCs w:val="16"/>
              </w:rPr>
            </w:pPr>
            <w:r w:rsidRPr="00171BAB">
              <w:rPr>
                <w:rFonts w:ascii="Cambria" w:eastAsia="Calibri" w:hAnsi="Cambria" w:cs="Times New Roman"/>
                <w:color w:val="31849B"/>
                <w:sz w:val="18"/>
                <w:szCs w:val="16"/>
              </w:rPr>
              <w:t xml:space="preserve">Cite this article as: </w:t>
            </w:r>
          </w:p>
          <w:p w:rsidR="00235E72" w:rsidRPr="00171BAB" w:rsidRDefault="00235E72" w:rsidP="00235E72">
            <w:pPr>
              <w:spacing w:after="120" w:line="240" w:lineRule="auto"/>
              <w:rPr>
                <w:rFonts w:ascii="Cambria" w:hAnsi="Cambria" w:cs="Times New Roman"/>
                <w:sz w:val="14"/>
                <w:szCs w:val="18"/>
              </w:rPr>
            </w:pPr>
            <w:r w:rsidRPr="00171BAB">
              <w:rPr>
                <w:rFonts w:ascii="Cambria" w:hAnsi="Cambria" w:cs="Times New Roman"/>
                <w:sz w:val="14"/>
                <w:szCs w:val="18"/>
              </w:rPr>
              <w:t xml:space="preserve">Sharma P, </w:t>
            </w:r>
            <w:proofErr w:type="spellStart"/>
            <w:r w:rsidRPr="00171BAB">
              <w:rPr>
                <w:rFonts w:ascii="Cambria" w:hAnsi="Cambria" w:cs="Times New Roman"/>
                <w:sz w:val="14"/>
                <w:szCs w:val="18"/>
              </w:rPr>
              <w:t>Kosanam</w:t>
            </w:r>
            <w:proofErr w:type="spellEnd"/>
            <w:r w:rsidRPr="00171BAB">
              <w:rPr>
                <w:rFonts w:ascii="Cambria" w:hAnsi="Cambria" w:cs="Times New Roman"/>
                <w:sz w:val="14"/>
                <w:szCs w:val="18"/>
              </w:rPr>
              <w:t xml:space="preserve"> S, </w:t>
            </w:r>
            <w:proofErr w:type="spellStart"/>
            <w:r w:rsidRPr="00171BAB">
              <w:rPr>
                <w:rFonts w:ascii="Cambria" w:hAnsi="Cambria" w:cs="Times New Roman"/>
                <w:sz w:val="14"/>
                <w:szCs w:val="18"/>
              </w:rPr>
              <w:t>Rao</w:t>
            </w:r>
            <w:proofErr w:type="spellEnd"/>
            <w:r w:rsidRPr="00171BAB">
              <w:rPr>
                <w:rFonts w:ascii="Cambria" w:hAnsi="Cambria" w:cs="Times New Roman"/>
                <w:sz w:val="14"/>
                <w:szCs w:val="18"/>
              </w:rPr>
              <w:t xml:space="preserve"> SS, </w:t>
            </w:r>
            <w:r w:rsidRPr="00171BAB">
              <w:rPr>
                <w:rFonts w:ascii="Cambria" w:hAnsi="Cambria" w:cs="Times New Roman"/>
                <w:bCs/>
                <w:sz w:val="14"/>
                <w:szCs w:val="18"/>
              </w:rPr>
              <w:t xml:space="preserve">Development and Validation of Q-Absorbance Ratio by UV-Spectrophotometric Method for Simultaneous Estimation of Metformin and </w:t>
            </w:r>
            <w:proofErr w:type="spellStart"/>
            <w:r w:rsidRPr="00171BAB">
              <w:rPr>
                <w:rFonts w:ascii="Cambria" w:hAnsi="Cambria" w:cs="Times New Roman"/>
                <w:bCs/>
                <w:sz w:val="14"/>
                <w:szCs w:val="18"/>
              </w:rPr>
              <w:t>Empagliflozin</w:t>
            </w:r>
            <w:proofErr w:type="spellEnd"/>
            <w:r w:rsidRPr="00171BAB">
              <w:rPr>
                <w:rFonts w:ascii="Cambria" w:hAnsi="Cambria" w:cs="Times New Roman"/>
                <w:bCs/>
                <w:sz w:val="14"/>
                <w:szCs w:val="18"/>
              </w:rPr>
              <w:t xml:space="preserve"> in Bulk and Combined Dosage Form</w:t>
            </w:r>
            <w:r w:rsidRPr="00171BAB">
              <w:rPr>
                <w:rFonts w:ascii="Cambria" w:hAnsi="Cambria" w:cs="Times New Roman"/>
                <w:bCs/>
                <w:color w:val="000000"/>
                <w:sz w:val="14"/>
                <w:szCs w:val="18"/>
              </w:rPr>
              <w:t>, Journal</w:t>
            </w:r>
            <w:r w:rsidRPr="00171BAB">
              <w:rPr>
                <w:rFonts w:ascii="Cambria" w:hAnsi="Cambria" w:cs="Times New Roman"/>
                <w:bCs/>
                <w:color w:val="000000"/>
                <w:sz w:val="14"/>
                <w:szCs w:val="14"/>
              </w:rPr>
              <w:t xml:space="preserve"> of Drug</w:t>
            </w:r>
            <w:r w:rsidRPr="00171BAB">
              <w:rPr>
                <w:rFonts w:ascii="Cambria" w:hAnsi="Cambria" w:cs="Times New Roman"/>
                <w:bCs/>
                <w:iCs/>
                <w:color w:val="000000"/>
                <w:sz w:val="14"/>
                <w:szCs w:val="14"/>
              </w:rPr>
              <w:t xml:space="preserve"> Delivery and </w:t>
            </w:r>
            <w:r w:rsidR="00A45036">
              <w:rPr>
                <w:rFonts w:ascii="Cambria" w:hAnsi="Cambria" w:cs="Times New Roman"/>
                <w:bCs/>
                <w:iCs/>
                <w:color w:val="000000"/>
                <w:sz w:val="14"/>
                <w:szCs w:val="14"/>
              </w:rPr>
              <w:t>Therapeutics. 2021; 11(2-s):14-18</w:t>
            </w:r>
            <w:r w:rsidRPr="00171BAB">
              <w:rPr>
                <w:rFonts w:ascii="Cambria" w:hAnsi="Cambria" w:cs="Times New Roman"/>
                <w:bCs/>
                <w:color w:val="000000"/>
                <w:sz w:val="14"/>
                <w:szCs w:val="14"/>
              </w:rPr>
              <w:t xml:space="preserve">                                                                           DOI: </w:t>
            </w:r>
            <w:hyperlink r:id="rId15" w:history="1">
              <w:r w:rsidRPr="00171BAB">
                <w:rPr>
                  <w:rStyle w:val="Hyperlink"/>
                  <w:rFonts w:ascii="Cambria" w:hAnsi="Cambria" w:cs="Times New Roman"/>
                  <w:bCs/>
                  <w:sz w:val="14"/>
                  <w:szCs w:val="14"/>
                  <w:u w:val="none"/>
                </w:rPr>
                <w:t xml:space="preserve">http://dx.doi.org/10.22270/jddt.v11i2-s.4624  </w:t>
              </w:r>
              <w:r w:rsidRPr="00171BAB">
                <w:rPr>
                  <w:rStyle w:val="Hyperlink"/>
                  <w:rFonts w:ascii="Cambria" w:hAnsi="Cambria" w:cs="Times New Roman"/>
                  <w:b/>
                  <w:bCs/>
                  <w:sz w:val="14"/>
                  <w:szCs w:val="14"/>
                  <w:u w:val="none"/>
                </w:rPr>
                <w:t xml:space="preserve"> </w:t>
              </w:r>
              <w:r w:rsidRPr="00171BAB">
                <w:rPr>
                  <w:rStyle w:val="Hyperlink"/>
                  <w:rFonts w:ascii="Cambria" w:hAnsi="Cambria" w:cs="Times New Roman"/>
                  <w:b/>
                  <w:bCs/>
                  <w:sz w:val="14"/>
                  <w:szCs w:val="14"/>
                </w:rPr>
                <w:t xml:space="preserve">           </w:t>
              </w:r>
            </w:hyperlink>
            <w:r w:rsidRPr="00171BAB">
              <w:rPr>
                <w:rFonts w:ascii="Cambria" w:hAnsi="Cambria" w:cs="Times New Roman"/>
                <w:bCs/>
                <w:color w:val="000000"/>
                <w:sz w:val="14"/>
                <w:szCs w:val="14"/>
              </w:rPr>
              <w:t xml:space="preserve"> </w:t>
            </w:r>
            <w:r w:rsidRPr="00171BAB">
              <w:rPr>
                <w:rFonts w:ascii="Cambria" w:hAnsi="Cambria" w:cs="Times New Roman"/>
                <w:bCs/>
                <w:color w:val="0070C0"/>
                <w:sz w:val="20"/>
                <w:szCs w:val="16"/>
              </w:rPr>
              <w:t>_________________________________________</w:t>
            </w:r>
          </w:p>
          <w:p w:rsidR="00235E72" w:rsidRPr="00171BAB" w:rsidRDefault="00235E72" w:rsidP="00235E72">
            <w:pPr>
              <w:pStyle w:val="BodyText"/>
              <w:spacing w:after="120"/>
              <w:ind w:left="0"/>
              <w:jc w:val="both"/>
              <w:rPr>
                <w:rFonts w:ascii="Cambria" w:eastAsia="Calibri" w:hAnsi="Cambria" w:cs="Times New Roman"/>
                <w:b/>
                <w:bCs/>
                <w:color w:val="2E74B5"/>
                <w:sz w:val="18"/>
                <w:szCs w:val="16"/>
              </w:rPr>
            </w:pPr>
            <w:r w:rsidRPr="00171BAB">
              <w:rPr>
                <w:rFonts w:ascii="Cambria" w:eastAsia="Calibri" w:hAnsi="Cambria" w:cs="Times New Roman"/>
                <w:color w:val="31849B"/>
                <w:sz w:val="18"/>
                <w:szCs w:val="16"/>
              </w:rPr>
              <w:t>*Address for Correspondence:</w:t>
            </w:r>
            <w:r w:rsidRPr="00171BAB">
              <w:rPr>
                <w:rFonts w:ascii="Cambria" w:eastAsia="Calibri" w:hAnsi="Cambria" w:cs="Times New Roman"/>
                <w:color w:val="2E74B5"/>
                <w:sz w:val="18"/>
                <w:szCs w:val="16"/>
              </w:rPr>
              <w:t xml:space="preserve">  </w:t>
            </w:r>
          </w:p>
          <w:p w:rsidR="00235E72" w:rsidRPr="00171BAB" w:rsidRDefault="00235E72" w:rsidP="00235E72">
            <w:pPr>
              <w:spacing w:after="120" w:line="240" w:lineRule="auto"/>
              <w:rPr>
                <w:rFonts w:ascii="Cambria" w:hAnsi="Cambria" w:cs="Times New Roman"/>
                <w:sz w:val="14"/>
                <w:szCs w:val="18"/>
              </w:rPr>
            </w:pPr>
            <w:proofErr w:type="spellStart"/>
            <w:r w:rsidRPr="00171BAB">
              <w:rPr>
                <w:rFonts w:ascii="Cambria" w:hAnsi="Cambria" w:cs="Times New Roman"/>
                <w:sz w:val="14"/>
                <w:szCs w:val="18"/>
              </w:rPr>
              <w:t>Srinivas</w:t>
            </w:r>
            <w:proofErr w:type="spellEnd"/>
            <w:r w:rsidRPr="00171BAB">
              <w:rPr>
                <w:rFonts w:ascii="Cambria" w:hAnsi="Cambria" w:cs="Times New Roman"/>
                <w:sz w:val="14"/>
                <w:szCs w:val="18"/>
              </w:rPr>
              <w:t xml:space="preserve"> </w:t>
            </w:r>
            <w:proofErr w:type="spellStart"/>
            <w:r w:rsidRPr="00171BAB">
              <w:rPr>
                <w:rFonts w:ascii="Cambria" w:hAnsi="Cambria" w:cs="Times New Roman"/>
                <w:sz w:val="14"/>
                <w:szCs w:val="18"/>
              </w:rPr>
              <w:t>Kosanam</w:t>
            </w:r>
            <w:proofErr w:type="spellEnd"/>
            <w:r w:rsidRPr="00171BAB">
              <w:rPr>
                <w:rFonts w:ascii="Cambria" w:hAnsi="Cambria" w:cs="Times New Roman"/>
                <w:sz w:val="14"/>
                <w:szCs w:val="18"/>
              </w:rPr>
              <w:t xml:space="preserve">, </w:t>
            </w:r>
            <w:r w:rsidRPr="00171BAB">
              <w:rPr>
                <w:rFonts w:ascii="Cambria" w:hAnsi="Cambria" w:cs="Times New Roman"/>
                <w:bCs/>
                <w:sz w:val="14"/>
                <w:szCs w:val="18"/>
              </w:rPr>
              <w:t xml:space="preserve">Research Scholar, </w:t>
            </w:r>
            <w:r w:rsidRPr="00171BAB">
              <w:rPr>
                <w:rFonts w:ascii="Cambria" w:hAnsi="Cambria" w:cs="Times New Roman"/>
                <w:iCs/>
                <w:sz w:val="14"/>
                <w:szCs w:val="18"/>
              </w:rPr>
              <w:t>Department of Science</w:t>
            </w:r>
            <w:r w:rsidRPr="00171BAB">
              <w:rPr>
                <w:rFonts w:ascii="Cambria" w:hAnsi="Cambria" w:cs="Times New Roman"/>
                <w:sz w:val="14"/>
                <w:szCs w:val="18"/>
              </w:rPr>
              <w:t xml:space="preserve">, </w:t>
            </w:r>
            <w:r w:rsidRPr="00171BAB">
              <w:rPr>
                <w:rFonts w:ascii="Cambria" w:hAnsi="Cambria" w:cs="Times New Roman"/>
                <w:bCs/>
                <w:sz w:val="14"/>
                <w:szCs w:val="18"/>
              </w:rPr>
              <w:t xml:space="preserve">Sri </w:t>
            </w:r>
            <w:proofErr w:type="spellStart"/>
            <w:r w:rsidRPr="00171BAB">
              <w:rPr>
                <w:rFonts w:ascii="Cambria" w:hAnsi="Cambria" w:cs="Times New Roman"/>
                <w:bCs/>
                <w:sz w:val="14"/>
                <w:szCs w:val="18"/>
              </w:rPr>
              <w:t>Satya</w:t>
            </w:r>
            <w:proofErr w:type="spellEnd"/>
            <w:r w:rsidRPr="00171BAB">
              <w:rPr>
                <w:rFonts w:ascii="Cambria" w:hAnsi="Cambria" w:cs="Times New Roman"/>
                <w:bCs/>
                <w:sz w:val="14"/>
                <w:szCs w:val="18"/>
              </w:rPr>
              <w:t xml:space="preserve"> </w:t>
            </w:r>
            <w:proofErr w:type="spellStart"/>
            <w:r w:rsidRPr="00171BAB">
              <w:rPr>
                <w:rFonts w:ascii="Cambria" w:hAnsi="Cambria" w:cs="Times New Roman"/>
                <w:bCs/>
                <w:sz w:val="14"/>
                <w:szCs w:val="18"/>
              </w:rPr>
              <w:t>Sai</w:t>
            </w:r>
            <w:proofErr w:type="spellEnd"/>
            <w:r w:rsidRPr="00171BAB">
              <w:rPr>
                <w:rFonts w:ascii="Cambria" w:hAnsi="Cambria" w:cs="Times New Roman"/>
                <w:bCs/>
                <w:sz w:val="14"/>
                <w:szCs w:val="18"/>
              </w:rPr>
              <w:t xml:space="preserve"> University of Technology &amp; Medical Sciences, </w:t>
            </w:r>
            <w:proofErr w:type="spellStart"/>
            <w:r w:rsidRPr="00171BAB">
              <w:rPr>
                <w:rFonts w:ascii="Cambria" w:hAnsi="Cambria" w:cs="Times New Roman"/>
                <w:bCs/>
                <w:sz w:val="14"/>
                <w:szCs w:val="18"/>
              </w:rPr>
              <w:t>Sehore</w:t>
            </w:r>
            <w:proofErr w:type="spellEnd"/>
            <w:r w:rsidRPr="00171BAB">
              <w:rPr>
                <w:rFonts w:ascii="Cambria" w:hAnsi="Cambria" w:cs="Times New Roman"/>
                <w:bCs/>
                <w:sz w:val="14"/>
                <w:szCs w:val="18"/>
              </w:rPr>
              <w:t>- (MP) - 466001</w:t>
            </w:r>
          </w:p>
        </w:tc>
        <w:tc>
          <w:tcPr>
            <w:tcW w:w="6446" w:type="dxa"/>
            <w:tcBorders>
              <w:top w:val="single" w:sz="8" w:space="0" w:color="5B9BD5"/>
              <w:bottom w:val="single" w:sz="8" w:space="0" w:color="5B9BD5"/>
            </w:tcBorders>
            <w:shd w:val="clear" w:color="auto" w:fill="auto"/>
          </w:tcPr>
          <w:p w:rsidR="00235E72" w:rsidRPr="00171BAB" w:rsidRDefault="00235E72" w:rsidP="00235E72">
            <w:pPr>
              <w:pStyle w:val="BodyText"/>
              <w:ind w:left="34"/>
              <w:jc w:val="both"/>
              <w:rPr>
                <w:rFonts w:ascii="Cambria" w:eastAsia="Calibri" w:hAnsi="Cambria" w:cs="Times New Roman"/>
                <w:b/>
                <w:bCs/>
                <w:color w:val="0070C0"/>
                <w:sz w:val="20"/>
                <w:szCs w:val="16"/>
              </w:rPr>
            </w:pPr>
            <w:r w:rsidRPr="00171BAB">
              <w:rPr>
                <w:rFonts w:ascii="Cambria" w:eastAsia="Calibri" w:hAnsi="Cambria" w:cs="Times New Roman"/>
                <w:color w:val="0070C0"/>
                <w:sz w:val="20"/>
                <w:szCs w:val="16"/>
              </w:rPr>
              <w:t>Abstract</w:t>
            </w:r>
          </w:p>
          <w:p w:rsidR="00235E72" w:rsidRPr="00171BAB" w:rsidRDefault="00235E72" w:rsidP="00235E72">
            <w:pPr>
              <w:spacing w:after="120"/>
              <w:rPr>
                <w:rFonts w:ascii="Cambria" w:hAnsi="Cambria" w:cs="Times New Roman"/>
                <w:b/>
                <w:bCs/>
                <w:color w:val="2E74B5"/>
                <w:sz w:val="16"/>
                <w:szCs w:val="18"/>
              </w:rPr>
            </w:pPr>
            <w:r w:rsidRPr="00171BAB">
              <w:rPr>
                <w:rFonts w:ascii="Cambria" w:hAnsi="Cambria" w:cs="Times New Roman"/>
                <w:bCs/>
                <w:color w:val="31849B"/>
                <w:sz w:val="16"/>
                <w:szCs w:val="18"/>
              </w:rPr>
              <w:t>______________________________________________________________________________________________________</w:t>
            </w:r>
          </w:p>
          <w:p w:rsidR="00235E72" w:rsidRPr="00171BAB" w:rsidRDefault="00235E72" w:rsidP="00235E72">
            <w:pPr>
              <w:spacing w:after="120" w:line="240" w:lineRule="auto"/>
              <w:jc w:val="both"/>
              <w:rPr>
                <w:rFonts w:ascii="Cambria" w:hAnsi="Cambria" w:cs="Times New Roman"/>
                <w:sz w:val="16"/>
                <w:szCs w:val="18"/>
              </w:rPr>
            </w:pPr>
            <w:r w:rsidRPr="00171BAB">
              <w:rPr>
                <w:rFonts w:ascii="Cambria" w:hAnsi="Cambria" w:cs="Times New Roman"/>
                <w:sz w:val="16"/>
                <w:szCs w:val="18"/>
              </w:rPr>
              <w:t xml:space="preserve">Advantages of simultaneous stability studies are the identification of new degradation products, to understand mutual induction and/or inhibition of rates of degradation and to </w:t>
            </w:r>
            <w:proofErr w:type="spellStart"/>
            <w:r w:rsidRPr="00171BAB">
              <w:rPr>
                <w:rFonts w:ascii="Cambria" w:hAnsi="Cambria" w:cs="Times New Roman"/>
                <w:sz w:val="16"/>
                <w:szCs w:val="18"/>
              </w:rPr>
              <w:t>analyze</w:t>
            </w:r>
            <w:proofErr w:type="spellEnd"/>
            <w:r w:rsidRPr="00171BAB">
              <w:rPr>
                <w:rFonts w:ascii="Cambria" w:hAnsi="Cambria" w:cs="Times New Roman"/>
                <w:sz w:val="16"/>
                <w:szCs w:val="18"/>
              </w:rPr>
              <w:t xml:space="preserve"> the degradation products of both drugs. Various ultraviolet spectroscopic and high performance liquid chromatographic assay methods were reported for the estimation of metformin, </w:t>
            </w:r>
            <w:proofErr w:type="spellStart"/>
            <w:r w:rsidRPr="00171BAB">
              <w:rPr>
                <w:rFonts w:ascii="Cambria" w:hAnsi="Cambria" w:cs="Times New Roman"/>
                <w:sz w:val="16"/>
                <w:szCs w:val="18"/>
              </w:rPr>
              <w:t>sitagliptin</w:t>
            </w:r>
            <w:proofErr w:type="spellEnd"/>
            <w:r w:rsidRPr="00171BAB">
              <w:rPr>
                <w:rFonts w:ascii="Cambria" w:hAnsi="Cambria" w:cs="Times New Roman"/>
                <w:sz w:val="16"/>
                <w:szCs w:val="18"/>
              </w:rPr>
              <w:t xml:space="preserve">, pioglitazone, glimepiride and simvastatin individually and in combination with other drugs. All the above reported methods were based on the estimation of metformin, </w:t>
            </w:r>
            <w:proofErr w:type="spellStart"/>
            <w:r w:rsidRPr="00171BAB">
              <w:rPr>
                <w:rFonts w:ascii="Cambria" w:hAnsi="Cambria" w:cs="Times New Roman"/>
                <w:sz w:val="16"/>
                <w:szCs w:val="18"/>
              </w:rPr>
              <w:t>sitagliptin</w:t>
            </w:r>
            <w:proofErr w:type="spellEnd"/>
            <w:r w:rsidRPr="00171BAB">
              <w:rPr>
                <w:rFonts w:ascii="Cambria" w:hAnsi="Cambria" w:cs="Times New Roman"/>
                <w:sz w:val="16"/>
                <w:szCs w:val="18"/>
              </w:rPr>
              <w:t xml:space="preserve">, pioglitazone, glimepiride and simvastatin alone or in combination with other drugs. The degradation products were generated and successfully separated by the developed and validated high performance liquid chromatographic methods for the estimation of the selected anti-diabetic drug combinations. The aim of the study was to develop and validate of Q-Absorbance Ratio UV-Spectrophotometric Method for Simultaneous Estimation of Metformin and </w:t>
            </w:r>
            <w:proofErr w:type="spellStart"/>
            <w:r w:rsidRPr="00171BAB">
              <w:rPr>
                <w:rFonts w:ascii="Cambria" w:hAnsi="Cambria" w:cs="Times New Roman"/>
                <w:sz w:val="16"/>
                <w:szCs w:val="18"/>
              </w:rPr>
              <w:t>Empagliflozin</w:t>
            </w:r>
            <w:proofErr w:type="spellEnd"/>
            <w:r w:rsidRPr="00171BAB">
              <w:rPr>
                <w:rFonts w:ascii="Cambria" w:hAnsi="Cambria" w:cs="Times New Roman"/>
                <w:sz w:val="16"/>
                <w:szCs w:val="18"/>
              </w:rPr>
              <w:t xml:space="preserve"> in Bulk and Combined Dosage Form.</w:t>
            </w:r>
          </w:p>
          <w:p w:rsidR="00235E72" w:rsidRPr="00171BAB" w:rsidRDefault="00235E72" w:rsidP="00235E72">
            <w:pPr>
              <w:spacing w:after="120" w:line="240" w:lineRule="auto"/>
              <w:rPr>
                <w:rFonts w:ascii="Cambria" w:hAnsi="Cambria" w:cs="Times New Roman"/>
                <w:sz w:val="16"/>
                <w:szCs w:val="18"/>
              </w:rPr>
            </w:pPr>
            <w:r w:rsidRPr="00171BAB">
              <w:rPr>
                <w:rFonts w:ascii="Cambria" w:hAnsi="Cambria" w:cs="Times New Roman"/>
                <w:b/>
                <w:bCs/>
                <w:sz w:val="16"/>
                <w:szCs w:val="18"/>
              </w:rPr>
              <w:t xml:space="preserve">Keywords: </w:t>
            </w:r>
            <w:r w:rsidRPr="00171BAB">
              <w:rPr>
                <w:rFonts w:ascii="Cambria" w:hAnsi="Cambria" w:cs="Times New Roman"/>
                <w:sz w:val="16"/>
                <w:szCs w:val="18"/>
              </w:rPr>
              <w:t xml:space="preserve">Metformin, Method Development, Validation, </w:t>
            </w:r>
            <w:proofErr w:type="spellStart"/>
            <w:r w:rsidRPr="00171BAB">
              <w:rPr>
                <w:rFonts w:ascii="Cambria" w:hAnsi="Cambria" w:cs="Times New Roman"/>
                <w:sz w:val="16"/>
                <w:szCs w:val="18"/>
              </w:rPr>
              <w:t>Empagliflozin</w:t>
            </w:r>
            <w:proofErr w:type="spellEnd"/>
            <w:r w:rsidRPr="00171BAB">
              <w:rPr>
                <w:rFonts w:ascii="Cambria" w:hAnsi="Cambria" w:cs="Times New Roman"/>
                <w:sz w:val="16"/>
                <w:szCs w:val="18"/>
              </w:rPr>
              <w:t>, UV-Spectrophotometer.</w:t>
            </w:r>
          </w:p>
        </w:tc>
      </w:tr>
    </w:tbl>
    <w:p w:rsidR="00235E72" w:rsidRDefault="00235E72" w:rsidP="008E3709">
      <w:pPr>
        <w:spacing w:after="120" w:line="240" w:lineRule="auto"/>
        <w:jc w:val="both"/>
        <w:rPr>
          <w:rFonts w:ascii="Times New Roman" w:hAnsi="Times New Roman" w:cs="Times New Roman"/>
          <w:b/>
          <w:bCs/>
          <w:color w:val="0070C0"/>
          <w:szCs w:val="18"/>
        </w:rPr>
      </w:pPr>
    </w:p>
    <w:p w:rsidR="00A45036" w:rsidRPr="00235E72" w:rsidRDefault="00A45036" w:rsidP="008E3709">
      <w:pPr>
        <w:spacing w:after="120" w:line="240" w:lineRule="auto"/>
        <w:jc w:val="both"/>
        <w:rPr>
          <w:rFonts w:ascii="Times New Roman" w:hAnsi="Times New Roman" w:cs="Times New Roman"/>
          <w:b/>
          <w:bCs/>
          <w:color w:val="0070C0"/>
          <w:szCs w:val="18"/>
        </w:rPr>
        <w:sectPr w:rsidR="00A45036" w:rsidRPr="00235E72" w:rsidSect="00171BAB">
          <w:headerReference w:type="even" r:id="rId16"/>
          <w:headerReference w:type="default" r:id="rId17"/>
          <w:footerReference w:type="even" r:id="rId18"/>
          <w:footerReference w:type="default" r:id="rId19"/>
          <w:headerReference w:type="first" r:id="rId20"/>
          <w:footerReference w:type="first" r:id="rId21"/>
          <w:pgSz w:w="11906" w:h="16838" w:code="9"/>
          <w:pgMar w:top="1107" w:right="964" w:bottom="964" w:left="1134" w:header="709" w:footer="709" w:gutter="0"/>
          <w:pgNumType w:start="14"/>
          <w:cols w:space="708"/>
          <w:docGrid w:linePitch="360"/>
        </w:sectPr>
      </w:pPr>
    </w:p>
    <w:p w:rsidR="008E3709" w:rsidRPr="00235E72" w:rsidRDefault="00B65852" w:rsidP="008E3709">
      <w:pPr>
        <w:spacing w:after="120" w:line="240" w:lineRule="auto"/>
        <w:jc w:val="both"/>
        <w:rPr>
          <w:rFonts w:ascii="Times New Roman" w:hAnsi="Times New Roman" w:cs="Times New Roman"/>
          <w:color w:val="0070C0"/>
          <w:szCs w:val="18"/>
        </w:rPr>
      </w:pPr>
      <w:r w:rsidRPr="00235E72">
        <w:rPr>
          <w:rFonts w:ascii="Times New Roman" w:hAnsi="Times New Roman" w:cs="Times New Roman"/>
          <w:b/>
          <w:bCs/>
          <w:color w:val="0070C0"/>
          <w:szCs w:val="18"/>
        </w:rPr>
        <w:lastRenderedPageBreak/>
        <w:t>INTRODUCTION</w:t>
      </w:r>
      <w:r w:rsidRPr="00235E72">
        <w:rPr>
          <w:rFonts w:ascii="Times New Roman" w:hAnsi="Times New Roman" w:cs="Times New Roman"/>
          <w:color w:val="0070C0"/>
          <w:szCs w:val="18"/>
        </w:rPr>
        <w:t xml:space="preserve">: </w:t>
      </w:r>
    </w:p>
    <w:p w:rsidR="00762CC3" w:rsidRPr="00235E72" w:rsidRDefault="00D01303"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Type 2 Diabetes mellitus (T</w:t>
      </w:r>
      <w:r w:rsidRPr="00235E72">
        <w:rPr>
          <w:rFonts w:ascii="Times New Roman" w:hAnsi="Times New Roman" w:cs="Times New Roman"/>
          <w:sz w:val="18"/>
          <w:szCs w:val="18"/>
          <w:vertAlign w:val="subscript"/>
        </w:rPr>
        <w:t>2</w:t>
      </w:r>
      <w:r w:rsidRPr="00235E72">
        <w:rPr>
          <w:rFonts w:ascii="Times New Roman" w:hAnsi="Times New Roman" w:cs="Times New Roman"/>
          <w:sz w:val="18"/>
          <w:szCs w:val="18"/>
        </w:rPr>
        <w:t xml:space="preserve">DM) is the most prevalent metabolic disease worldwide. Inadequate management and control of </w:t>
      </w:r>
      <w:proofErr w:type="spellStart"/>
      <w:r w:rsidRPr="00235E72">
        <w:rPr>
          <w:rFonts w:ascii="Times New Roman" w:hAnsi="Times New Roman" w:cs="Times New Roman"/>
          <w:sz w:val="18"/>
          <w:szCs w:val="18"/>
        </w:rPr>
        <w:t>hyperglycemia</w:t>
      </w:r>
      <w:proofErr w:type="spellEnd"/>
      <w:r w:rsidRPr="00235E72">
        <w:rPr>
          <w:rFonts w:ascii="Times New Roman" w:hAnsi="Times New Roman" w:cs="Times New Roman"/>
          <w:sz w:val="18"/>
          <w:szCs w:val="18"/>
        </w:rPr>
        <w:t xml:space="preserve"> in patients with T</w:t>
      </w:r>
      <w:r w:rsidRPr="00235E72">
        <w:rPr>
          <w:rFonts w:ascii="Times New Roman" w:hAnsi="Times New Roman" w:cs="Times New Roman"/>
          <w:sz w:val="18"/>
          <w:szCs w:val="18"/>
          <w:vertAlign w:val="subscript"/>
        </w:rPr>
        <w:t>2</w:t>
      </w:r>
      <w:r w:rsidRPr="00235E72">
        <w:rPr>
          <w:rFonts w:ascii="Times New Roman" w:hAnsi="Times New Roman" w:cs="Times New Roman"/>
          <w:sz w:val="18"/>
          <w:szCs w:val="18"/>
        </w:rPr>
        <w:t>DM may lead to the risk of developing complications over the long term due to chronic and progressive nature of the disease arising from pathophysiology of beta-cell dysfunction, insulin resistance and increased hepatic glucose output</w:t>
      </w:r>
      <w:r w:rsidR="00F9175A" w:rsidRPr="00235E72">
        <w:rPr>
          <w:rFonts w:ascii="Times New Roman" w:hAnsi="Times New Roman" w:cs="Times New Roman"/>
          <w:sz w:val="18"/>
          <w:szCs w:val="18"/>
          <w:vertAlign w:val="superscript"/>
        </w:rPr>
        <w:t>1-3</w:t>
      </w:r>
      <w:r w:rsidRPr="00235E72">
        <w:rPr>
          <w:rFonts w:ascii="Times New Roman" w:hAnsi="Times New Roman" w:cs="Times New Roman"/>
          <w:sz w:val="18"/>
          <w:szCs w:val="18"/>
        </w:rPr>
        <w:t>. Patients with T</w:t>
      </w:r>
      <w:r w:rsidRPr="00235E72">
        <w:rPr>
          <w:rFonts w:ascii="Times New Roman" w:hAnsi="Times New Roman" w:cs="Times New Roman"/>
          <w:sz w:val="18"/>
          <w:szCs w:val="18"/>
          <w:vertAlign w:val="subscript"/>
        </w:rPr>
        <w:t>2</w:t>
      </w:r>
      <w:r w:rsidRPr="00235E72">
        <w:rPr>
          <w:rFonts w:ascii="Times New Roman" w:hAnsi="Times New Roman" w:cs="Times New Roman"/>
          <w:sz w:val="18"/>
          <w:szCs w:val="18"/>
        </w:rPr>
        <w:t xml:space="preserve">DM often require a combination of therapeutic agents in order to achieve </w:t>
      </w:r>
      <w:proofErr w:type="spellStart"/>
      <w:r w:rsidRPr="00235E72">
        <w:rPr>
          <w:rFonts w:ascii="Times New Roman" w:hAnsi="Times New Roman" w:cs="Times New Roman"/>
          <w:sz w:val="18"/>
          <w:szCs w:val="18"/>
        </w:rPr>
        <w:t>glycemic</w:t>
      </w:r>
      <w:proofErr w:type="spellEnd"/>
      <w:r w:rsidRPr="00235E72">
        <w:rPr>
          <w:rFonts w:ascii="Times New Roman" w:hAnsi="Times New Roman" w:cs="Times New Roman"/>
          <w:sz w:val="18"/>
          <w:szCs w:val="18"/>
        </w:rPr>
        <w:t xml:space="preserve"> control over the long term. </w:t>
      </w:r>
      <w:r w:rsidR="00B65852" w:rsidRPr="00235E72">
        <w:rPr>
          <w:rFonts w:ascii="Times New Roman" w:hAnsi="Times New Roman" w:cs="Times New Roman"/>
          <w:sz w:val="18"/>
          <w:szCs w:val="18"/>
        </w:rPr>
        <w:t xml:space="preserve"> </w:t>
      </w:r>
      <w:r w:rsidRPr="00235E72">
        <w:rPr>
          <w:rFonts w:ascii="Times New Roman" w:hAnsi="Times New Roman" w:cs="Times New Roman"/>
          <w:sz w:val="18"/>
          <w:szCs w:val="18"/>
        </w:rPr>
        <w:t xml:space="preserve">Fixed-dose combination (FDC) therapies have been shown to improve adherence by reducing costs, pill burden, and the complexity of treatment regimen. A treatment approach with a FDC that includes combination of anti-diabetic medications could be used to obtain adequate </w:t>
      </w:r>
      <w:proofErr w:type="spellStart"/>
      <w:r w:rsidRPr="00235E72">
        <w:rPr>
          <w:rFonts w:ascii="Times New Roman" w:hAnsi="Times New Roman" w:cs="Times New Roman"/>
          <w:sz w:val="18"/>
          <w:szCs w:val="18"/>
        </w:rPr>
        <w:t>glycemic</w:t>
      </w:r>
      <w:proofErr w:type="spellEnd"/>
      <w:r w:rsidRPr="00235E72">
        <w:rPr>
          <w:rFonts w:ascii="Times New Roman" w:hAnsi="Times New Roman" w:cs="Times New Roman"/>
          <w:sz w:val="18"/>
          <w:szCs w:val="18"/>
        </w:rPr>
        <w:t xml:space="preserve"> control in patients with type 2 diabetes. A combined formulation consisting of metformin, </w:t>
      </w:r>
      <w:proofErr w:type="spellStart"/>
      <w:r w:rsidRPr="00235E72">
        <w:rPr>
          <w:rFonts w:ascii="Times New Roman" w:hAnsi="Times New Roman" w:cs="Times New Roman"/>
          <w:sz w:val="18"/>
          <w:szCs w:val="18"/>
        </w:rPr>
        <w:t>sitagliptin</w:t>
      </w:r>
      <w:proofErr w:type="spellEnd"/>
      <w:r w:rsidRPr="00235E72">
        <w:rPr>
          <w:rFonts w:ascii="Times New Roman" w:hAnsi="Times New Roman" w:cs="Times New Roman"/>
          <w:sz w:val="18"/>
          <w:szCs w:val="18"/>
        </w:rPr>
        <w:t xml:space="preserve"> and glimepiride in a single tablet would potentially offer increased patient convenience and subsequent potential for increased therapeutic compliance and can be studied for the treatment of adults with inadequately controlled T</w:t>
      </w:r>
      <w:r w:rsidRPr="00235E72">
        <w:rPr>
          <w:rFonts w:ascii="Times New Roman" w:hAnsi="Times New Roman" w:cs="Times New Roman"/>
          <w:sz w:val="18"/>
          <w:szCs w:val="18"/>
          <w:vertAlign w:val="subscript"/>
        </w:rPr>
        <w:t>2</w:t>
      </w:r>
      <w:r w:rsidRPr="00235E72">
        <w:rPr>
          <w:rFonts w:ascii="Times New Roman" w:hAnsi="Times New Roman" w:cs="Times New Roman"/>
          <w:sz w:val="18"/>
          <w:szCs w:val="18"/>
        </w:rPr>
        <w:t xml:space="preserve">DM to improve </w:t>
      </w:r>
      <w:proofErr w:type="spellStart"/>
      <w:r w:rsidRPr="00235E72">
        <w:rPr>
          <w:rFonts w:ascii="Times New Roman" w:hAnsi="Times New Roman" w:cs="Times New Roman"/>
          <w:sz w:val="18"/>
          <w:szCs w:val="18"/>
        </w:rPr>
        <w:t>glycemic</w:t>
      </w:r>
      <w:proofErr w:type="spellEnd"/>
      <w:r w:rsidRPr="00235E72">
        <w:rPr>
          <w:rFonts w:ascii="Times New Roman" w:hAnsi="Times New Roman" w:cs="Times New Roman"/>
          <w:sz w:val="18"/>
          <w:szCs w:val="18"/>
        </w:rPr>
        <w:t xml:space="preserve"> control</w:t>
      </w:r>
      <w:r w:rsidR="00F9175A" w:rsidRPr="00235E72">
        <w:rPr>
          <w:rFonts w:ascii="Times New Roman" w:hAnsi="Times New Roman" w:cs="Times New Roman"/>
          <w:sz w:val="18"/>
          <w:szCs w:val="18"/>
          <w:vertAlign w:val="superscript"/>
        </w:rPr>
        <w:t>4-7</w:t>
      </w:r>
      <w:r w:rsidRPr="00235E72">
        <w:rPr>
          <w:rFonts w:ascii="Times New Roman" w:hAnsi="Times New Roman" w:cs="Times New Roman"/>
          <w:sz w:val="18"/>
          <w:szCs w:val="18"/>
        </w:rPr>
        <w:t xml:space="preserve">. A clinical trial was conducted for evaluation of </w:t>
      </w:r>
      <w:proofErr w:type="spellStart"/>
      <w:r w:rsidRPr="00235E72">
        <w:rPr>
          <w:rFonts w:ascii="Times New Roman" w:hAnsi="Times New Roman" w:cs="Times New Roman"/>
          <w:sz w:val="18"/>
          <w:szCs w:val="18"/>
        </w:rPr>
        <w:t>sitagliptin</w:t>
      </w:r>
      <w:proofErr w:type="spellEnd"/>
      <w:r w:rsidRPr="00235E72">
        <w:rPr>
          <w:rFonts w:ascii="Times New Roman" w:hAnsi="Times New Roman" w:cs="Times New Roman"/>
          <w:sz w:val="18"/>
          <w:szCs w:val="18"/>
        </w:rPr>
        <w:t xml:space="preserve"> in combination with metformin and sulfonylurea. The aim of that clinical trial protocol was to determine the non-inferiority of the effectiveness of </w:t>
      </w:r>
      <w:proofErr w:type="spellStart"/>
      <w:r w:rsidRPr="00235E72">
        <w:rPr>
          <w:rFonts w:ascii="Times New Roman" w:hAnsi="Times New Roman" w:cs="Times New Roman"/>
          <w:sz w:val="18"/>
          <w:szCs w:val="18"/>
        </w:rPr>
        <w:t>sitagliptin</w:t>
      </w:r>
      <w:proofErr w:type="spellEnd"/>
      <w:r w:rsidRPr="00235E72">
        <w:rPr>
          <w:rFonts w:ascii="Times New Roman" w:hAnsi="Times New Roman" w:cs="Times New Roman"/>
          <w:sz w:val="18"/>
          <w:szCs w:val="18"/>
        </w:rPr>
        <w:t xml:space="preserve"> compared to a </w:t>
      </w:r>
      <w:r w:rsidRPr="00235E72">
        <w:rPr>
          <w:rFonts w:ascii="Times New Roman" w:hAnsi="Times New Roman" w:cs="Times New Roman"/>
          <w:sz w:val="18"/>
          <w:szCs w:val="18"/>
        </w:rPr>
        <w:lastRenderedPageBreak/>
        <w:t xml:space="preserve">control group of patients treated with thiazolidinedione as add-on </w:t>
      </w:r>
      <w:r w:rsidR="002F7F1E" w:rsidRPr="00235E72">
        <w:rPr>
          <w:rFonts w:ascii="Times New Roman" w:hAnsi="Times New Roman" w:cs="Times New Roman"/>
          <w:sz w:val="18"/>
          <w:szCs w:val="18"/>
        </w:rPr>
        <w:t>therapy;</w:t>
      </w:r>
      <w:r w:rsidRPr="00235E72">
        <w:rPr>
          <w:rFonts w:ascii="Times New Roman" w:hAnsi="Times New Roman" w:cs="Times New Roman"/>
          <w:sz w:val="18"/>
          <w:szCs w:val="18"/>
        </w:rPr>
        <w:t xml:space="preserve"> in low-income ethnic minority type 2 diabetic patients who are failing to maintain adequate control with maximal doses of metformin and a sulfonylurea agent</w:t>
      </w:r>
      <w:r w:rsidR="00F9175A" w:rsidRPr="00235E72">
        <w:rPr>
          <w:rFonts w:ascii="Times New Roman" w:hAnsi="Times New Roman" w:cs="Times New Roman"/>
          <w:sz w:val="18"/>
          <w:szCs w:val="18"/>
          <w:vertAlign w:val="superscript"/>
        </w:rPr>
        <w:t>8-12</w:t>
      </w:r>
      <w:r w:rsidRPr="00235E72">
        <w:rPr>
          <w:rFonts w:ascii="Times New Roman" w:hAnsi="Times New Roman" w:cs="Times New Roman"/>
          <w:sz w:val="18"/>
          <w:szCs w:val="18"/>
        </w:rPr>
        <w:t xml:space="preserve">.  </w:t>
      </w:r>
      <w:r w:rsidR="00E9757E" w:rsidRPr="00235E72">
        <w:rPr>
          <w:rFonts w:ascii="Times New Roman" w:hAnsi="Times New Roman" w:cs="Times New Roman"/>
          <w:sz w:val="18"/>
          <w:szCs w:val="18"/>
        </w:rPr>
        <w:t>The aim of the present research work</w:t>
      </w:r>
      <w:r w:rsidR="00C20F7D" w:rsidRPr="00235E72">
        <w:rPr>
          <w:rFonts w:ascii="Times New Roman" w:hAnsi="Times New Roman" w:cs="Times New Roman"/>
          <w:sz w:val="18"/>
          <w:szCs w:val="18"/>
        </w:rPr>
        <w:t xml:space="preserve"> was to develop and validate of Q-Absorbance Ratio UV-Spectrophotometric Method for Simultaneous Estimation of Metformin and </w:t>
      </w:r>
      <w:proofErr w:type="spellStart"/>
      <w:r w:rsidR="00C20F7D" w:rsidRPr="00235E72">
        <w:rPr>
          <w:rFonts w:ascii="Times New Roman" w:hAnsi="Times New Roman" w:cs="Times New Roman"/>
          <w:sz w:val="18"/>
          <w:szCs w:val="18"/>
        </w:rPr>
        <w:t>Empagliflozin</w:t>
      </w:r>
      <w:proofErr w:type="spellEnd"/>
      <w:r w:rsidR="00C20F7D" w:rsidRPr="00235E72">
        <w:rPr>
          <w:rFonts w:ascii="Times New Roman" w:hAnsi="Times New Roman" w:cs="Times New Roman"/>
          <w:sz w:val="18"/>
          <w:szCs w:val="18"/>
        </w:rPr>
        <w:t xml:space="preserve"> in Bulk and Combined Dosage Form.</w:t>
      </w:r>
    </w:p>
    <w:p w:rsidR="00235E72" w:rsidRPr="00235E72" w:rsidRDefault="00C20F7D" w:rsidP="00235E72">
      <w:pPr>
        <w:spacing w:after="120" w:line="240" w:lineRule="auto"/>
        <w:jc w:val="both"/>
        <w:rPr>
          <w:rFonts w:ascii="Times New Roman" w:hAnsi="Times New Roman" w:cs="Times New Roman"/>
          <w:b/>
          <w:bCs/>
          <w:color w:val="0070C0"/>
          <w:szCs w:val="18"/>
        </w:rPr>
      </w:pPr>
      <w:r w:rsidRPr="00235E72">
        <w:rPr>
          <w:rFonts w:ascii="Times New Roman" w:hAnsi="Times New Roman" w:cs="Times New Roman"/>
          <w:b/>
          <w:bCs/>
          <w:color w:val="0070C0"/>
          <w:szCs w:val="18"/>
        </w:rPr>
        <w:t>MATERIALS AND METHODS</w:t>
      </w:r>
    </w:p>
    <w:p w:rsidR="00171BAB" w:rsidRDefault="008E7475" w:rsidP="00171BAB">
      <w:pPr>
        <w:spacing w:after="120" w:line="240" w:lineRule="auto"/>
        <w:jc w:val="both"/>
        <w:rPr>
          <w:rFonts w:ascii="Times New Roman" w:hAnsi="Times New Roman" w:cs="Times New Roman"/>
          <w:sz w:val="18"/>
          <w:szCs w:val="18"/>
        </w:rPr>
      </w:pPr>
      <w:r w:rsidRPr="00235E72">
        <w:rPr>
          <w:rFonts w:ascii="Times New Roman" w:hAnsi="Times New Roman" w:cs="Times New Roman"/>
          <w:b/>
          <w:sz w:val="18"/>
          <w:szCs w:val="18"/>
        </w:rPr>
        <w:t>Reagents and Apparatus</w:t>
      </w:r>
      <w:r w:rsidRPr="00235E72">
        <w:rPr>
          <w:rFonts w:ascii="Times New Roman" w:hAnsi="Times New Roman" w:cs="Times New Roman"/>
          <w:sz w:val="18"/>
          <w:szCs w:val="18"/>
        </w:rPr>
        <w:t xml:space="preserve">: Metformin and </w:t>
      </w:r>
      <w:proofErr w:type="spellStart"/>
      <w:r w:rsidR="00816940" w:rsidRPr="00235E72">
        <w:rPr>
          <w:rFonts w:ascii="Times New Roman" w:hAnsi="Times New Roman" w:cs="Times New Roman"/>
          <w:bCs/>
          <w:sz w:val="18"/>
          <w:szCs w:val="18"/>
        </w:rPr>
        <w:t>Empagliflozin</w:t>
      </w:r>
      <w:proofErr w:type="spellEnd"/>
      <w:r w:rsidR="00816940" w:rsidRPr="00235E72">
        <w:rPr>
          <w:rFonts w:ascii="Times New Roman" w:hAnsi="Times New Roman" w:cs="Times New Roman"/>
          <w:sz w:val="18"/>
          <w:szCs w:val="18"/>
        </w:rPr>
        <w:t xml:space="preserve"> were received as gift sample form </w:t>
      </w:r>
      <w:proofErr w:type="spellStart"/>
      <w:r w:rsidR="00816940" w:rsidRPr="00235E72">
        <w:rPr>
          <w:rFonts w:ascii="Times New Roman" w:hAnsi="Times New Roman" w:cs="Times New Roman"/>
          <w:sz w:val="18"/>
          <w:szCs w:val="18"/>
        </w:rPr>
        <w:t>Glenmark</w:t>
      </w:r>
      <w:proofErr w:type="spellEnd"/>
      <w:r w:rsidR="00816940" w:rsidRPr="00235E72">
        <w:rPr>
          <w:rFonts w:ascii="Times New Roman" w:hAnsi="Times New Roman" w:cs="Times New Roman"/>
          <w:sz w:val="18"/>
          <w:szCs w:val="18"/>
        </w:rPr>
        <w:t xml:space="preserve"> pharmaceutical ltd, </w:t>
      </w:r>
      <w:proofErr w:type="spellStart"/>
      <w:r w:rsidR="00816940" w:rsidRPr="00235E72">
        <w:rPr>
          <w:rFonts w:ascii="Times New Roman" w:hAnsi="Times New Roman" w:cs="Times New Roman"/>
          <w:sz w:val="18"/>
          <w:szCs w:val="18"/>
        </w:rPr>
        <w:t>Mahape</w:t>
      </w:r>
      <w:proofErr w:type="spellEnd"/>
      <w:r w:rsidR="00816940" w:rsidRPr="00235E72">
        <w:rPr>
          <w:rFonts w:ascii="Times New Roman" w:hAnsi="Times New Roman" w:cs="Times New Roman"/>
          <w:sz w:val="18"/>
          <w:szCs w:val="18"/>
        </w:rPr>
        <w:t xml:space="preserve"> (Mumbai), India</w:t>
      </w:r>
      <w:r w:rsidRPr="00235E72">
        <w:rPr>
          <w:rFonts w:ascii="Times New Roman" w:hAnsi="Times New Roman" w:cs="Times New Roman"/>
          <w:sz w:val="18"/>
          <w:szCs w:val="18"/>
        </w:rPr>
        <w:t xml:space="preserve">. Methanol and Water were used of HPLC grade and purchased from Fisher Scientific, India. Potassium </w:t>
      </w:r>
      <w:proofErr w:type="spellStart"/>
      <w:r w:rsidRPr="00235E72">
        <w:rPr>
          <w:rFonts w:ascii="Times New Roman" w:hAnsi="Times New Roman" w:cs="Times New Roman"/>
          <w:sz w:val="18"/>
          <w:szCs w:val="18"/>
        </w:rPr>
        <w:t>dihydrogen</w:t>
      </w:r>
      <w:proofErr w:type="spellEnd"/>
      <w:r w:rsidRPr="00235E72">
        <w:rPr>
          <w:rFonts w:ascii="Times New Roman" w:hAnsi="Times New Roman" w:cs="Times New Roman"/>
          <w:sz w:val="18"/>
          <w:szCs w:val="18"/>
        </w:rPr>
        <w:t xml:space="preserve"> phosphate buffer was purchased from S</w:t>
      </w:r>
      <w:r w:rsidR="00235E72" w:rsidRPr="00235E72">
        <w:rPr>
          <w:rFonts w:ascii="Times New Roman" w:hAnsi="Times New Roman" w:cs="Times New Roman"/>
          <w:sz w:val="18"/>
          <w:szCs w:val="18"/>
        </w:rPr>
        <w:t xml:space="preserve">igma-Aldrich Company, India. A </w:t>
      </w:r>
      <w:r w:rsidRPr="00235E72">
        <w:rPr>
          <w:rFonts w:ascii="Times New Roman" w:hAnsi="Times New Roman" w:cs="Times New Roman"/>
          <w:sz w:val="18"/>
          <w:szCs w:val="18"/>
        </w:rPr>
        <w:t>double beam UV-Visib</w:t>
      </w:r>
      <w:r w:rsidR="00816940" w:rsidRPr="00235E72">
        <w:rPr>
          <w:rFonts w:ascii="Times New Roman" w:hAnsi="Times New Roman" w:cs="Times New Roman"/>
          <w:sz w:val="18"/>
          <w:szCs w:val="18"/>
        </w:rPr>
        <w:t>le spectrophotometer,</w:t>
      </w:r>
      <w:r w:rsidR="00297282" w:rsidRPr="00235E72">
        <w:rPr>
          <w:rFonts w:ascii="Times New Roman" w:hAnsi="Times New Roman" w:cs="Times New Roman"/>
          <w:bCs/>
          <w:spacing w:val="-2"/>
          <w:sz w:val="18"/>
          <w:szCs w:val="18"/>
        </w:rPr>
        <w:t xml:space="preserve"> PerkinElmer</w:t>
      </w:r>
      <w:r w:rsidR="00297282" w:rsidRPr="00235E72">
        <w:rPr>
          <w:rFonts w:ascii="Times New Roman" w:hAnsi="Times New Roman" w:cs="Times New Roman"/>
          <w:sz w:val="18"/>
          <w:szCs w:val="18"/>
        </w:rPr>
        <w:t>, UK</w:t>
      </w:r>
      <w:r w:rsidR="00816940" w:rsidRPr="00235E72">
        <w:rPr>
          <w:rFonts w:ascii="Times New Roman" w:hAnsi="Times New Roman" w:cs="Times New Roman"/>
          <w:sz w:val="18"/>
          <w:szCs w:val="18"/>
        </w:rPr>
        <w:t>, with software lab solution 1.86</w:t>
      </w:r>
      <w:r w:rsidRPr="00235E72">
        <w:rPr>
          <w:rFonts w:ascii="Times New Roman" w:hAnsi="Times New Roman" w:cs="Times New Roman"/>
          <w:sz w:val="18"/>
          <w:szCs w:val="18"/>
        </w:rPr>
        <w:t xml:space="preserve"> and 1 cm quartz cell, was used for the analysis. Standard stock solution (100 g/mL) of Metformin and </w:t>
      </w:r>
      <w:proofErr w:type="spellStart"/>
      <w:r w:rsidR="00816940" w:rsidRPr="00235E72">
        <w:rPr>
          <w:rFonts w:ascii="Times New Roman" w:hAnsi="Times New Roman" w:cs="Times New Roman"/>
          <w:bCs/>
          <w:sz w:val="18"/>
          <w:szCs w:val="18"/>
        </w:rPr>
        <w:t>Empagliflozin</w:t>
      </w:r>
      <w:proofErr w:type="spellEnd"/>
      <w:r w:rsidRPr="00235E72">
        <w:rPr>
          <w:rFonts w:ascii="Times New Roman" w:hAnsi="Times New Roman" w:cs="Times New Roman"/>
          <w:sz w:val="18"/>
          <w:szCs w:val="18"/>
        </w:rPr>
        <w:t xml:space="preserve"> were prepared separately by dissolving accurately weighed 10mg of individual drug in 100 mL volumetric flask and diluting up to the mark with methanol. </w:t>
      </w:r>
    </w:p>
    <w:p w:rsidR="008E7475" w:rsidRPr="00171BAB" w:rsidRDefault="008E7475" w:rsidP="00171BAB">
      <w:pPr>
        <w:spacing w:after="120" w:line="240" w:lineRule="auto"/>
        <w:jc w:val="both"/>
        <w:rPr>
          <w:rFonts w:ascii="Times New Roman" w:hAnsi="Times New Roman" w:cs="Times New Roman"/>
          <w:sz w:val="18"/>
          <w:szCs w:val="18"/>
        </w:rPr>
      </w:pPr>
      <w:r w:rsidRPr="00171BAB">
        <w:rPr>
          <w:rFonts w:ascii="Times New Roman" w:hAnsi="Times New Roman" w:cs="Times New Roman"/>
          <w:b/>
          <w:sz w:val="18"/>
          <w:szCs w:val="18"/>
        </w:rPr>
        <w:t>Preparation of Working Standard Stock Solutions</w:t>
      </w:r>
      <w:r w:rsidR="001C1733" w:rsidRPr="00171BAB">
        <w:rPr>
          <w:rFonts w:ascii="Times New Roman" w:hAnsi="Times New Roman" w:cs="Times New Roman"/>
          <w:b/>
          <w:sz w:val="18"/>
          <w:szCs w:val="18"/>
        </w:rPr>
        <w:t>:</w:t>
      </w:r>
      <w:r w:rsidR="001C1733" w:rsidRPr="00171BAB">
        <w:rPr>
          <w:rFonts w:ascii="Times New Roman" w:hAnsi="Times New Roman" w:cs="Times New Roman"/>
          <w:sz w:val="18"/>
          <w:szCs w:val="18"/>
        </w:rPr>
        <w:t xml:space="preserve"> </w:t>
      </w:r>
      <w:r w:rsidRPr="00171BAB">
        <w:rPr>
          <w:rFonts w:ascii="Times New Roman" w:hAnsi="Times New Roman" w:cs="Times New Roman"/>
          <w:sz w:val="18"/>
          <w:szCs w:val="18"/>
        </w:rPr>
        <w:t xml:space="preserve">1ml from Metformin and 1 ml from </w:t>
      </w:r>
      <w:proofErr w:type="spellStart"/>
      <w:r w:rsidR="00816940" w:rsidRPr="00171BAB">
        <w:rPr>
          <w:rFonts w:ascii="Times New Roman" w:hAnsi="Times New Roman" w:cs="Times New Roman"/>
          <w:sz w:val="18"/>
          <w:szCs w:val="18"/>
        </w:rPr>
        <w:t>Empagliflozin</w:t>
      </w:r>
      <w:proofErr w:type="spellEnd"/>
      <w:r w:rsidRPr="00171BAB">
        <w:rPr>
          <w:rFonts w:ascii="Times New Roman" w:hAnsi="Times New Roman" w:cs="Times New Roman"/>
          <w:sz w:val="18"/>
          <w:szCs w:val="18"/>
        </w:rPr>
        <w:t xml:space="preserve"> stock solutions were </w:t>
      </w:r>
      <w:r w:rsidRPr="00171BAB">
        <w:rPr>
          <w:rFonts w:ascii="Times New Roman" w:hAnsi="Times New Roman" w:cs="Times New Roman"/>
          <w:sz w:val="18"/>
          <w:szCs w:val="18"/>
        </w:rPr>
        <w:lastRenderedPageBreak/>
        <w:t xml:space="preserve">taken into a 10 ml volumetric flask and made up to mark with Methanol. </w:t>
      </w:r>
      <w:proofErr w:type="gramStart"/>
      <w:r w:rsidRPr="00171BAB">
        <w:rPr>
          <w:rFonts w:ascii="Times New Roman" w:hAnsi="Times New Roman" w:cs="Times New Roman"/>
          <w:sz w:val="18"/>
          <w:szCs w:val="18"/>
        </w:rPr>
        <w:t xml:space="preserve">(Metformin and </w:t>
      </w:r>
      <w:r w:rsidR="00816940" w:rsidRPr="00171BAB">
        <w:rPr>
          <w:rFonts w:ascii="Times New Roman" w:hAnsi="Times New Roman" w:cs="Times New Roman"/>
          <w:sz w:val="18"/>
          <w:szCs w:val="18"/>
        </w:rPr>
        <w:t>Empagliflozin</w:t>
      </w:r>
      <w:r w:rsidR="00AF672A" w:rsidRPr="00171BAB">
        <w:rPr>
          <w:rFonts w:ascii="Times New Roman" w:hAnsi="Times New Roman" w:cs="Times New Roman"/>
          <w:sz w:val="18"/>
          <w:szCs w:val="18"/>
        </w:rPr>
        <w:t>-10 µg/ml each respectively).</w:t>
      </w:r>
      <w:proofErr w:type="gramEnd"/>
    </w:p>
    <w:p w:rsidR="00235E72" w:rsidRPr="00235E72" w:rsidRDefault="008E7475" w:rsidP="00235E72">
      <w:pPr>
        <w:pStyle w:val="Heading4"/>
        <w:spacing w:after="120" w:line="240" w:lineRule="auto"/>
        <w:ind w:left="0"/>
        <w:rPr>
          <w:sz w:val="18"/>
          <w:szCs w:val="18"/>
        </w:rPr>
      </w:pPr>
      <w:r w:rsidRPr="00235E72">
        <w:rPr>
          <w:sz w:val="18"/>
          <w:szCs w:val="18"/>
        </w:rPr>
        <w:t>Preparation of Sample solution</w:t>
      </w:r>
      <w:r w:rsidR="001C1733" w:rsidRPr="00235E72">
        <w:rPr>
          <w:sz w:val="18"/>
          <w:szCs w:val="18"/>
        </w:rPr>
        <w:t>:</w:t>
      </w:r>
      <w:r w:rsidR="001C1733" w:rsidRPr="00235E72">
        <w:rPr>
          <w:b w:val="0"/>
          <w:bCs/>
          <w:sz w:val="18"/>
          <w:szCs w:val="18"/>
        </w:rPr>
        <w:t xml:space="preserve"> </w:t>
      </w:r>
      <w:r w:rsidRPr="00235E72">
        <w:rPr>
          <w:b w:val="0"/>
          <w:bCs/>
          <w:sz w:val="18"/>
          <w:szCs w:val="18"/>
        </w:rPr>
        <w:t>Sample stock solution: Standard laboratory mixture equiv</w:t>
      </w:r>
      <w:r w:rsidR="001C1733" w:rsidRPr="00235E72">
        <w:rPr>
          <w:b w:val="0"/>
          <w:bCs/>
          <w:sz w:val="18"/>
          <w:szCs w:val="18"/>
        </w:rPr>
        <w:t xml:space="preserve">alent to 10 mg of Metformin and </w:t>
      </w:r>
      <w:proofErr w:type="spellStart"/>
      <w:r w:rsidR="00816940" w:rsidRPr="00235E72">
        <w:rPr>
          <w:b w:val="0"/>
          <w:bCs/>
          <w:sz w:val="18"/>
          <w:szCs w:val="18"/>
        </w:rPr>
        <w:t>Empagliflozin</w:t>
      </w:r>
      <w:proofErr w:type="spellEnd"/>
      <w:r w:rsidRPr="00235E72">
        <w:rPr>
          <w:b w:val="0"/>
          <w:bCs/>
          <w:sz w:val="18"/>
          <w:szCs w:val="18"/>
        </w:rPr>
        <w:t xml:space="preserve"> was diluted up to 100 ml with methanol. </w:t>
      </w:r>
      <w:proofErr w:type="gramStart"/>
      <w:r w:rsidRPr="00235E72">
        <w:rPr>
          <w:b w:val="0"/>
          <w:bCs/>
          <w:sz w:val="18"/>
          <w:szCs w:val="18"/>
        </w:rPr>
        <w:t xml:space="preserve">(Metformin and </w:t>
      </w:r>
      <w:r w:rsidR="00816940" w:rsidRPr="00235E72">
        <w:rPr>
          <w:b w:val="0"/>
          <w:bCs/>
          <w:sz w:val="18"/>
          <w:szCs w:val="18"/>
        </w:rPr>
        <w:t>Empagliflozin</w:t>
      </w:r>
      <w:r w:rsidRPr="00235E72">
        <w:rPr>
          <w:b w:val="0"/>
          <w:bCs/>
          <w:sz w:val="18"/>
          <w:szCs w:val="18"/>
        </w:rPr>
        <w:t>-100 µg/ml each).</w:t>
      </w:r>
      <w:proofErr w:type="gramEnd"/>
      <w:r w:rsidRPr="00235E72">
        <w:rPr>
          <w:b w:val="0"/>
          <w:bCs/>
          <w:sz w:val="18"/>
          <w:szCs w:val="18"/>
        </w:rPr>
        <w:t xml:space="preserve"> This solution was filtered through </w:t>
      </w:r>
      <w:proofErr w:type="spellStart"/>
      <w:r w:rsidRPr="00235E72">
        <w:rPr>
          <w:b w:val="0"/>
          <w:bCs/>
          <w:sz w:val="18"/>
          <w:szCs w:val="18"/>
        </w:rPr>
        <w:t>Whatmann</w:t>
      </w:r>
      <w:proofErr w:type="spellEnd"/>
      <w:r w:rsidRPr="00235E72">
        <w:rPr>
          <w:b w:val="0"/>
          <w:bCs/>
          <w:sz w:val="18"/>
          <w:szCs w:val="18"/>
        </w:rPr>
        <w:t xml:space="preserve"> filter paper. -Spectrophotometric Method for Simultaneous Estimation of Metformin and </w:t>
      </w:r>
      <w:proofErr w:type="spellStart"/>
      <w:r w:rsidR="00816940" w:rsidRPr="00235E72">
        <w:rPr>
          <w:b w:val="0"/>
          <w:bCs/>
          <w:sz w:val="18"/>
          <w:szCs w:val="18"/>
        </w:rPr>
        <w:t>Empagliflozin</w:t>
      </w:r>
      <w:proofErr w:type="spellEnd"/>
      <w:r w:rsidRPr="00235E72">
        <w:rPr>
          <w:b w:val="0"/>
          <w:bCs/>
          <w:sz w:val="18"/>
          <w:szCs w:val="18"/>
        </w:rPr>
        <w:t xml:space="preserve"> in Bulk and Combined Dosage Form Working sample preparation: 1 ml of above stock solution was diluted to 10 ml with methanol. </w:t>
      </w:r>
      <w:proofErr w:type="gramStart"/>
      <w:r w:rsidRPr="00235E72">
        <w:rPr>
          <w:b w:val="0"/>
          <w:bCs/>
          <w:sz w:val="18"/>
          <w:szCs w:val="18"/>
        </w:rPr>
        <w:t xml:space="preserve">(Metformin and </w:t>
      </w:r>
      <w:r w:rsidR="00816940" w:rsidRPr="00235E72">
        <w:rPr>
          <w:b w:val="0"/>
          <w:bCs/>
          <w:sz w:val="18"/>
          <w:szCs w:val="18"/>
        </w:rPr>
        <w:t>Empagliflozin</w:t>
      </w:r>
      <w:r w:rsidRPr="00235E72">
        <w:rPr>
          <w:b w:val="0"/>
          <w:bCs/>
          <w:sz w:val="18"/>
          <w:szCs w:val="18"/>
        </w:rPr>
        <w:t>-10µg/ml each).</w:t>
      </w:r>
      <w:proofErr w:type="gramEnd"/>
      <w:r w:rsidR="00235E72" w:rsidRPr="00235E72">
        <w:rPr>
          <w:sz w:val="18"/>
          <w:szCs w:val="18"/>
        </w:rPr>
        <w:t xml:space="preserve"> </w:t>
      </w:r>
    </w:p>
    <w:p w:rsidR="00297282" w:rsidRPr="00235E72" w:rsidRDefault="008E7475" w:rsidP="00235E72">
      <w:pPr>
        <w:pStyle w:val="Heading4"/>
        <w:spacing w:after="120" w:line="240" w:lineRule="auto"/>
        <w:ind w:left="0"/>
        <w:rPr>
          <w:sz w:val="18"/>
          <w:szCs w:val="18"/>
        </w:rPr>
      </w:pPr>
      <w:r w:rsidRPr="00235E72">
        <w:rPr>
          <w:sz w:val="18"/>
          <w:szCs w:val="18"/>
        </w:rPr>
        <w:t xml:space="preserve">Determination of </w:t>
      </w:r>
      <w:proofErr w:type="spellStart"/>
      <w:r w:rsidRPr="00235E72">
        <w:rPr>
          <w:sz w:val="18"/>
          <w:szCs w:val="18"/>
        </w:rPr>
        <w:t>Iso</w:t>
      </w:r>
      <w:proofErr w:type="spellEnd"/>
      <w:r w:rsidRPr="00235E72">
        <w:rPr>
          <w:sz w:val="18"/>
          <w:szCs w:val="18"/>
        </w:rPr>
        <w:t xml:space="preserve">-absorptive Point and Wavelength of Maximum </w:t>
      </w:r>
      <w:r w:rsidR="008A1614" w:rsidRPr="00235E72">
        <w:rPr>
          <w:sz w:val="18"/>
          <w:szCs w:val="18"/>
        </w:rPr>
        <w:t>Absorbance (</w:t>
      </w:r>
      <w:r w:rsidRPr="00235E72">
        <w:rPr>
          <w:rFonts w:ascii="Cambria Math" w:eastAsia="Calibri" w:hAnsi="Cambria Math" w:cs="Cambria Math"/>
          <w:b w:val="0"/>
          <w:iCs/>
          <w:sz w:val="18"/>
          <w:szCs w:val="18"/>
        </w:rPr>
        <w:t>𝜆</w:t>
      </w:r>
      <w:r w:rsidRPr="00235E72">
        <w:rPr>
          <w:iCs/>
          <w:sz w:val="18"/>
          <w:szCs w:val="18"/>
        </w:rPr>
        <w:t>max</w:t>
      </w:r>
      <w:r w:rsidRPr="00235E72">
        <w:rPr>
          <w:sz w:val="18"/>
          <w:szCs w:val="18"/>
        </w:rPr>
        <w:t>)</w:t>
      </w:r>
      <w:r w:rsidR="001C1733" w:rsidRPr="00235E72">
        <w:rPr>
          <w:sz w:val="18"/>
          <w:szCs w:val="18"/>
        </w:rPr>
        <w:t xml:space="preserve">: </w:t>
      </w:r>
      <w:r w:rsidRPr="00235E72">
        <w:rPr>
          <w:b w:val="0"/>
          <w:bCs/>
          <w:sz w:val="18"/>
          <w:szCs w:val="18"/>
        </w:rPr>
        <w:t xml:space="preserve">Solutions of 10µg/mL of Metformin and </w:t>
      </w:r>
      <w:proofErr w:type="spellStart"/>
      <w:r w:rsidR="00816940" w:rsidRPr="00235E72">
        <w:rPr>
          <w:b w:val="0"/>
          <w:bCs/>
          <w:sz w:val="18"/>
          <w:szCs w:val="18"/>
        </w:rPr>
        <w:t>Empagliflozin</w:t>
      </w:r>
      <w:proofErr w:type="spellEnd"/>
      <w:r w:rsidRPr="00235E72">
        <w:rPr>
          <w:b w:val="0"/>
          <w:bCs/>
          <w:sz w:val="18"/>
          <w:szCs w:val="18"/>
        </w:rPr>
        <w:t xml:space="preserve"> were scanned in the range of 200 nm to 400 nm against methanol as blank. The method involved Q-absorption ratio analysis using two wavelengths obtained by the overlay spectrum of the Metformin and </w:t>
      </w:r>
      <w:proofErr w:type="spellStart"/>
      <w:r w:rsidR="00816940" w:rsidRPr="00235E72">
        <w:rPr>
          <w:b w:val="0"/>
          <w:bCs/>
          <w:sz w:val="18"/>
          <w:szCs w:val="18"/>
        </w:rPr>
        <w:t>Empagliflozin</w:t>
      </w:r>
      <w:proofErr w:type="spellEnd"/>
      <w:r w:rsidRPr="00235E72">
        <w:rPr>
          <w:b w:val="0"/>
          <w:bCs/>
          <w:sz w:val="18"/>
          <w:szCs w:val="18"/>
        </w:rPr>
        <w:t xml:space="preserve">; with one being the maximum absorbance wavelength of </w:t>
      </w:r>
      <w:proofErr w:type="spellStart"/>
      <w:r w:rsidR="00816940" w:rsidRPr="00235E72">
        <w:rPr>
          <w:b w:val="0"/>
          <w:bCs/>
          <w:sz w:val="18"/>
          <w:szCs w:val="18"/>
        </w:rPr>
        <w:t>Empagliflozin</w:t>
      </w:r>
      <w:proofErr w:type="spellEnd"/>
      <w:r w:rsidR="00FC24EA" w:rsidRPr="00235E72">
        <w:rPr>
          <w:b w:val="0"/>
          <w:bCs/>
          <w:sz w:val="18"/>
          <w:szCs w:val="18"/>
        </w:rPr>
        <w:t xml:space="preserve"> (225</w:t>
      </w:r>
      <w:r w:rsidRPr="00235E72">
        <w:rPr>
          <w:b w:val="0"/>
          <w:bCs/>
          <w:sz w:val="18"/>
          <w:szCs w:val="18"/>
        </w:rPr>
        <w:t xml:space="preserve"> nm, </w:t>
      </w:r>
      <w:r w:rsidRPr="00235E72">
        <w:rPr>
          <w:rFonts w:ascii="Cambria Math" w:eastAsia="Calibri" w:hAnsi="Cambria Math" w:cs="Cambria Math"/>
          <w:b w:val="0"/>
          <w:bCs/>
          <w:i/>
          <w:sz w:val="18"/>
          <w:szCs w:val="18"/>
        </w:rPr>
        <w:t>𝜆</w:t>
      </w:r>
      <w:r w:rsidRPr="00235E72">
        <w:rPr>
          <w:b w:val="0"/>
          <w:bCs/>
          <w:sz w:val="18"/>
          <w:szCs w:val="18"/>
        </w:rPr>
        <w:t xml:space="preserve">2) and the other being the </w:t>
      </w:r>
      <w:proofErr w:type="spellStart"/>
      <w:r w:rsidRPr="00235E72">
        <w:rPr>
          <w:b w:val="0"/>
          <w:bCs/>
          <w:sz w:val="18"/>
          <w:szCs w:val="18"/>
        </w:rPr>
        <w:t>iso</w:t>
      </w:r>
      <w:proofErr w:type="spellEnd"/>
      <w:r w:rsidRPr="00235E72">
        <w:rPr>
          <w:b w:val="0"/>
          <w:bCs/>
          <w:sz w:val="18"/>
          <w:szCs w:val="18"/>
        </w:rPr>
        <w:t xml:space="preserve">-absorptive point of both drugs (250 nm, </w:t>
      </w:r>
      <w:r w:rsidRPr="00235E72">
        <w:rPr>
          <w:rFonts w:ascii="Cambria Math" w:eastAsia="Calibri" w:hAnsi="Cambria Math" w:cs="Cambria Math"/>
          <w:b w:val="0"/>
          <w:bCs/>
          <w:i/>
          <w:sz w:val="18"/>
          <w:szCs w:val="18"/>
        </w:rPr>
        <w:t>𝜆</w:t>
      </w:r>
      <w:r w:rsidRPr="00235E72">
        <w:rPr>
          <w:b w:val="0"/>
          <w:bCs/>
          <w:sz w:val="18"/>
          <w:szCs w:val="18"/>
        </w:rPr>
        <w:t>1).</w:t>
      </w:r>
      <w:r w:rsidRPr="00235E72">
        <w:rPr>
          <w:sz w:val="18"/>
          <w:szCs w:val="18"/>
        </w:rPr>
        <w:t xml:space="preserve">  </w:t>
      </w:r>
    </w:p>
    <w:p w:rsidR="008E7475" w:rsidRPr="00235E72" w:rsidRDefault="008E7475" w:rsidP="008E3709">
      <w:pPr>
        <w:pStyle w:val="Heading4"/>
        <w:spacing w:after="120" w:line="240" w:lineRule="auto"/>
        <w:ind w:left="0"/>
        <w:rPr>
          <w:sz w:val="18"/>
          <w:szCs w:val="18"/>
        </w:rPr>
      </w:pPr>
      <w:r w:rsidRPr="00235E72">
        <w:rPr>
          <w:sz w:val="18"/>
          <w:szCs w:val="18"/>
        </w:rPr>
        <w:t>Preparation of Sample Solution</w:t>
      </w:r>
      <w:r w:rsidR="001C1733" w:rsidRPr="00235E72">
        <w:rPr>
          <w:sz w:val="18"/>
          <w:szCs w:val="18"/>
        </w:rPr>
        <w:t xml:space="preserve">s from Standard Stock Solution: </w:t>
      </w:r>
      <w:r w:rsidRPr="00235E72">
        <w:rPr>
          <w:b w:val="0"/>
          <w:bCs/>
          <w:sz w:val="18"/>
          <w:szCs w:val="18"/>
        </w:rPr>
        <w:t>The sample solutions of various concentrations were prepared from the standard stock solution by diluting aliquots of working stock solutions appropriately.</w:t>
      </w:r>
      <w:r w:rsidRPr="00235E72">
        <w:rPr>
          <w:sz w:val="18"/>
          <w:szCs w:val="18"/>
        </w:rPr>
        <w:t xml:space="preserve">  </w:t>
      </w:r>
    </w:p>
    <w:p w:rsidR="00AF672A" w:rsidRPr="00235E72" w:rsidRDefault="001C1733" w:rsidP="008E3709">
      <w:pPr>
        <w:pStyle w:val="Heading4"/>
        <w:spacing w:after="120" w:line="240" w:lineRule="auto"/>
        <w:ind w:left="0"/>
        <w:rPr>
          <w:sz w:val="18"/>
          <w:szCs w:val="18"/>
        </w:rPr>
      </w:pPr>
      <w:r w:rsidRPr="00235E72">
        <w:rPr>
          <w:sz w:val="18"/>
          <w:szCs w:val="18"/>
        </w:rPr>
        <w:t xml:space="preserve">Calibration Curve (Linearity): </w:t>
      </w:r>
      <w:r w:rsidR="008E7475" w:rsidRPr="00235E72">
        <w:rPr>
          <w:b w:val="0"/>
          <w:bCs/>
          <w:sz w:val="18"/>
          <w:szCs w:val="18"/>
        </w:rPr>
        <w:t xml:space="preserve">The linearity response was determined by </w:t>
      </w:r>
      <w:proofErr w:type="spellStart"/>
      <w:r w:rsidR="008E7475" w:rsidRPr="00235E72">
        <w:rPr>
          <w:b w:val="0"/>
          <w:bCs/>
          <w:sz w:val="18"/>
          <w:szCs w:val="18"/>
        </w:rPr>
        <w:t>analyzing</w:t>
      </w:r>
      <w:proofErr w:type="spellEnd"/>
      <w:r w:rsidR="008E7475" w:rsidRPr="00235E72">
        <w:rPr>
          <w:b w:val="0"/>
          <w:bCs/>
          <w:sz w:val="18"/>
          <w:szCs w:val="18"/>
        </w:rPr>
        <w:t xml:space="preserve"> six independent levels of calibration curve in the range of 5-17.5 </w:t>
      </w:r>
      <w:proofErr w:type="spellStart"/>
      <w:r w:rsidR="008E7475" w:rsidRPr="00235E72">
        <w:rPr>
          <w:b w:val="0"/>
          <w:bCs/>
          <w:sz w:val="18"/>
          <w:szCs w:val="18"/>
        </w:rPr>
        <w:t>μg</w:t>
      </w:r>
      <w:proofErr w:type="spellEnd"/>
      <w:r w:rsidR="008E7475" w:rsidRPr="00235E72">
        <w:rPr>
          <w:b w:val="0"/>
          <w:bCs/>
          <w:sz w:val="18"/>
          <w:szCs w:val="18"/>
        </w:rPr>
        <w:t xml:space="preserve">/mL for each of Metformin and </w:t>
      </w:r>
      <w:proofErr w:type="spellStart"/>
      <w:r w:rsidR="00816940" w:rsidRPr="00235E72">
        <w:rPr>
          <w:b w:val="0"/>
          <w:bCs/>
          <w:sz w:val="18"/>
          <w:szCs w:val="18"/>
        </w:rPr>
        <w:t>Empagliflozin</w:t>
      </w:r>
      <w:proofErr w:type="spellEnd"/>
      <w:r w:rsidR="008E7475" w:rsidRPr="00235E72">
        <w:rPr>
          <w:b w:val="0"/>
          <w:bCs/>
          <w:sz w:val="18"/>
          <w:szCs w:val="18"/>
        </w:rPr>
        <w:t xml:space="preserve"> respectively (n=3). Accurately measured stock solutions of Metformin and </w:t>
      </w:r>
      <w:proofErr w:type="spellStart"/>
      <w:r w:rsidR="00816940" w:rsidRPr="00235E72">
        <w:rPr>
          <w:b w:val="0"/>
          <w:bCs/>
          <w:sz w:val="18"/>
          <w:szCs w:val="18"/>
        </w:rPr>
        <w:t>Empagliflozin</w:t>
      </w:r>
      <w:proofErr w:type="spellEnd"/>
      <w:r w:rsidR="008E7475" w:rsidRPr="00235E72">
        <w:rPr>
          <w:b w:val="0"/>
          <w:bCs/>
          <w:sz w:val="18"/>
          <w:szCs w:val="18"/>
        </w:rPr>
        <w:t xml:space="preserve"> (5.0, 7.5, 10.0, 12.5, 15.0 and 17.5 mL) were transferred to two separate series of 100 mL volumetric flask and diluted up to the mark with methanol. The absorbance of both solutions was taken at their respective </w:t>
      </w:r>
      <w:r w:rsidR="008E7475" w:rsidRPr="00235E72">
        <w:rPr>
          <w:rFonts w:ascii="Cambria Math" w:eastAsia="Calibri" w:hAnsi="Cambria Math" w:cs="Cambria Math"/>
          <w:b w:val="0"/>
          <w:bCs/>
          <w:i/>
          <w:sz w:val="18"/>
          <w:szCs w:val="18"/>
        </w:rPr>
        <w:t>𝜆</w:t>
      </w:r>
      <w:r w:rsidR="008E7475" w:rsidRPr="00235E72">
        <w:rPr>
          <w:b w:val="0"/>
          <w:bCs/>
          <w:sz w:val="18"/>
          <w:szCs w:val="18"/>
        </w:rPr>
        <w:t xml:space="preserve">max and at </w:t>
      </w:r>
      <w:proofErr w:type="spellStart"/>
      <w:r w:rsidR="008E7475" w:rsidRPr="00235E72">
        <w:rPr>
          <w:b w:val="0"/>
          <w:bCs/>
          <w:sz w:val="18"/>
          <w:szCs w:val="18"/>
        </w:rPr>
        <w:t>iso</w:t>
      </w:r>
      <w:proofErr w:type="spellEnd"/>
      <w:r w:rsidR="008E7475" w:rsidRPr="00235E72">
        <w:rPr>
          <w:b w:val="0"/>
          <w:bCs/>
          <w:sz w:val="18"/>
          <w:szCs w:val="18"/>
        </w:rPr>
        <w:t>-absorptive point. The calibration curves were constructed by plotting concentration against absorbance where each data point was an average of three determinations.</w:t>
      </w:r>
    </w:p>
    <w:p w:rsidR="008E7475" w:rsidRPr="00235E72" w:rsidRDefault="008E7475" w:rsidP="008E3709">
      <w:pPr>
        <w:pStyle w:val="Heading4"/>
        <w:spacing w:after="120" w:line="240" w:lineRule="auto"/>
        <w:ind w:left="0"/>
        <w:rPr>
          <w:sz w:val="18"/>
          <w:szCs w:val="18"/>
        </w:rPr>
      </w:pPr>
      <w:r w:rsidRPr="00235E72">
        <w:rPr>
          <w:sz w:val="18"/>
          <w:szCs w:val="18"/>
        </w:rPr>
        <w:t xml:space="preserve">Estimation of Standard Laboratory </w:t>
      </w:r>
      <w:r w:rsidR="001C1733" w:rsidRPr="00235E72">
        <w:rPr>
          <w:sz w:val="18"/>
          <w:szCs w:val="18"/>
        </w:rPr>
        <w:t>Mixture using proposed method:</w:t>
      </w:r>
      <w:r w:rsidR="001C1733" w:rsidRPr="00235E72">
        <w:rPr>
          <w:b w:val="0"/>
          <w:bCs/>
          <w:sz w:val="18"/>
          <w:szCs w:val="18"/>
        </w:rPr>
        <w:t xml:space="preserve"> </w:t>
      </w:r>
      <w:r w:rsidRPr="00235E72">
        <w:rPr>
          <w:b w:val="0"/>
          <w:bCs/>
          <w:sz w:val="18"/>
          <w:szCs w:val="18"/>
        </w:rPr>
        <w:t xml:space="preserve">The absorptivity coefficient of both the drugs was determined. The individual </w:t>
      </w:r>
      <w:r w:rsidR="00AF672A" w:rsidRPr="00235E72">
        <w:rPr>
          <w:b w:val="0"/>
          <w:bCs/>
          <w:sz w:val="18"/>
          <w:szCs w:val="18"/>
        </w:rPr>
        <w:t xml:space="preserve">concentration Method Validation </w:t>
      </w:r>
      <w:r w:rsidRPr="00235E72">
        <w:rPr>
          <w:b w:val="0"/>
          <w:bCs/>
          <w:sz w:val="18"/>
          <w:szCs w:val="18"/>
        </w:rPr>
        <w:t xml:space="preserve">of Metformin and </w:t>
      </w:r>
      <w:proofErr w:type="spellStart"/>
      <w:r w:rsidR="00816940" w:rsidRPr="00235E72">
        <w:rPr>
          <w:b w:val="0"/>
          <w:bCs/>
          <w:sz w:val="18"/>
          <w:szCs w:val="18"/>
        </w:rPr>
        <w:t>Empagliflozin</w:t>
      </w:r>
      <w:proofErr w:type="spellEnd"/>
      <w:r w:rsidRPr="00235E72">
        <w:rPr>
          <w:b w:val="0"/>
          <w:bCs/>
          <w:sz w:val="18"/>
          <w:szCs w:val="18"/>
        </w:rPr>
        <w:t xml:space="preserve"> was determined using the following equations:</w:t>
      </w:r>
      <w:r w:rsidRPr="00235E72">
        <w:rPr>
          <w:sz w:val="18"/>
          <w:szCs w:val="18"/>
        </w:rPr>
        <w:t xml:space="preserve">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Cambria Math" w:eastAsia="Calibri" w:hAnsi="Cambria Math" w:cs="Cambria Math"/>
          <w:i/>
          <w:sz w:val="18"/>
          <w:szCs w:val="18"/>
        </w:rPr>
        <w:t>𝐶</w:t>
      </w:r>
      <w:r w:rsidR="00AF672A" w:rsidRPr="00235E72">
        <w:rPr>
          <w:rFonts w:ascii="Times New Roman" w:hAnsi="Times New Roman" w:cs="Times New Roman"/>
          <w:sz w:val="18"/>
          <w:szCs w:val="18"/>
          <w:vertAlign w:val="subscript"/>
        </w:rPr>
        <w:t>Metformin =</w:t>
      </w:r>
      <w:r w:rsidRPr="00235E72">
        <w:rPr>
          <w:rFonts w:ascii="Times New Roman" w:hAnsi="Times New Roman" w:cs="Times New Roman"/>
          <w:sz w:val="18"/>
          <w:szCs w:val="18"/>
        </w:rPr>
        <w:t xml:space="preserve"> (</w:t>
      </w:r>
      <w:r w:rsidRPr="00235E72">
        <w:rPr>
          <w:rFonts w:ascii="Cambria Math" w:eastAsia="Calibri" w:hAnsi="Cambria Math" w:cs="Cambria Math"/>
          <w:i/>
          <w:sz w:val="18"/>
          <w:szCs w:val="18"/>
        </w:rPr>
        <w:t>𝑄𝑀</w:t>
      </w:r>
      <w:r w:rsidRPr="00235E72">
        <w:rPr>
          <w:rFonts w:ascii="Times New Roman" w:hAnsi="Times New Roman" w:cs="Times New Roman"/>
          <w:sz w:val="18"/>
          <w:szCs w:val="18"/>
        </w:rPr>
        <w:t xml:space="preserve"> – </w:t>
      </w:r>
      <w:r w:rsidRPr="00235E72">
        <w:rPr>
          <w:rFonts w:ascii="Cambria Math" w:eastAsia="Calibri" w:hAnsi="Cambria Math" w:cs="Cambria Math"/>
          <w:i/>
          <w:sz w:val="18"/>
          <w:szCs w:val="18"/>
        </w:rPr>
        <w:t>𝑄𝑌</w:t>
      </w:r>
      <w:r w:rsidRPr="00235E72">
        <w:rPr>
          <w:rFonts w:ascii="Times New Roman" w:hAnsi="Times New Roman" w:cs="Times New Roman"/>
          <w:sz w:val="18"/>
          <w:szCs w:val="18"/>
        </w:rPr>
        <w:t xml:space="preserve">) x </w:t>
      </w:r>
      <w:r w:rsidRPr="00235E72">
        <w:rPr>
          <w:rFonts w:ascii="Cambria Math" w:eastAsia="Calibri" w:hAnsi="Cambria Math" w:cs="Cambria Math"/>
          <w:i/>
          <w:sz w:val="18"/>
          <w:szCs w:val="18"/>
        </w:rPr>
        <w:t>𝐴</w:t>
      </w:r>
      <w:r w:rsidR="00AF672A" w:rsidRPr="00235E72">
        <w:rPr>
          <w:rFonts w:ascii="Times New Roman" w:hAnsi="Times New Roman" w:cs="Times New Roman"/>
          <w:sz w:val="18"/>
          <w:szCs w:val="18"/>
        </w:rPr>
        <w:t>1</w:t>
      </w:r>
      <w:r w:rsidRPr="00235E72">
        <w:rPr>
          <w:rFonts w:ascii="Times New Roman" w:hAnsi="Times New Roman" w:cs="Times New Roman"/>
          <w:sz w:val="18"/>
          <w:szCs w:val="18"/>
        </w:rPr>
        <w:t>/ (</w:t>
      </w:r>
      <w:r w:rsidRPr="00235E72">
        <w:rPr>
          <w:rFonts w:ascii="Cambria Math" w:eastAsia="Calibri" w:hAnsi="Cambria Math" w:cs="Cambria Math"/>
          <w:i/>
          <w:sz w:val="18"/>
          <w:szCs w:val="18"/>
        </w:rPr>
        <w:t>𝑄</w:t>
      </w:r>
      <w:r w:rsidRPr="00235E72">
        <w:rPr>
          <w:rFonts w:ascii="Times New Roman" w:hAnsi="Times New Roman" w:cs="Times New Roman"/>
          <w:sz w:val="18"/>
          <w:szCs w:val="18"/>
        </w:rPr>
        <w:t xml:space="preserve">x – </w:t>
      </w:r>
      <w:r w:rsidRPr="00235E72">
        <w:rPr>
          <w:rFonts w:ascii="Cambria Math" w:eastAsia="Calibri" w:hAnsi="Cambria Math" w:cs="Cambria Math"/>
          <w:i/>
          <w:sz w:val="18"/>
          <w:szCs w:val="18"/>
        </w:rPr>
        <w:t>𝑄𝑌</w:t>
      </w:r>
      <w:r w:rsidRPr="00235E72">
        <w:rPr>
          <w:rFonts w:ascii="Times New Roman" w:hAnsi="Times New Roman" w:cs="Times New Roman"/>
          <w:sz w:val="18"/>
          <w:szCs w:val="18"/>
        </w:rPr>
        <w:t xml:space="preserve">) x ax1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Cambria Math" w:eastAsia="Calibri" w:hAnsi="Cambria Math" w:cs="Cambria Math"/>
          <w:i/>
          <w:sz w:val="18"/>
          <w:szCs w:val="18"/>
        </w:rPr>
        <w:t>𝐶</w:t>
      </w:r>
      <w:proofErr w:type="spellStart"/>
      <w:r w:rsidR="00816940" w:rsidRPr="00235E72">
        <w:rPr>
          <w:rFonts w:ascii="Times New Roman" w:hAnsi="Times New Roman" w:cs="Times New Roman"/>
          <w:sz w:val="18"/>
          <w:szCs w:val="18"/>
          <w:vertAlign w:val="subscript"/>
        </w:rPr>
        <w:t>Empagliflozin</w:t>
      </w:r>
      <w:proofErr w:type="spellEnd"/>
      <w:r w:rsidRPr="00235E72">
        <w:rPr>
          <w:rFonts w:ascii="Times New Roman" w:hAnsi="Times New Roman" w:cs="Times New Roman"/>
          <w:sz w:val="18"/>
          <w:szCs w:val="18"/>
        </w:rPr>
        <w:t>= (</w:t>
      </w:r>
      <w:r w:rsidRPr="00235E72">
        <w:rPr>
          <w:rFonts w:ascii="Cambria Math" w:eastAsia="Calibri" w:hAnsi="Cambria Math" w:cs="Cambria Math"/>
          <w:i/>
          <w:sz w:val="18"/>
          <w:szCs w:val="18"/>
        </w:rPr>
        <w:t>𝑄𝑀</w:t>
      </w:r>
      <w:r w:rsidRPr="00235E72">
        <w:rPr>
          <w:rFonts w:ascii="Times New Roman" w:hAnsi="Times New Roman" w:cs="Times New Roman"/>
          <w:sz w:val="18"/>
          <w:szCs w:val="18"/>
        </w:rPr>
        <w:t xml:space="preserve"> – </w:t>
      </w:r>
      <w:r w:rsidRPr="00235E72">
        <w:rPr>
          <w:rFonts w:ascii="Cambria Math" w:eastAsia="Calibri" w:hAnsi="Cambria Math" w:cs="Cambria Math"/>
          <w:i/>
          <w:sz w:val="18"/>
          <w:szCs w:val="18"/>
        </w:rPr>
        <w:t>𝑄</w:t>
      </w:r>
      <w:r w:rsidRPr="00235E72">
        <w:rPr>
          <w:rFonts w:ascii="Times New Roman" w:hAnsi="Times New Roman" w:cs="Times New Roman"/>
          <w:sz w:val="18"/>
          <w:szCs w:val="18"/>
        </w:rPr>
        <w:t xml:space="preserve">X) x </w:t>
      </w:r>
      <w:r w:rsidRPr="00235E72">
        <w:rPr>
          <w:rFonts w:ascii="Cambria Math" w:eastAsia="Calibri" w:hAnsi="Cambria Math" w:cs="Cambria Math"/>
          <w:i/>
          <w:sz w:val="18"/>
          <w:szCs w:val="18"/>
        </w:rPr>
        <w:t>𝐴</w:t>
      </w:r>
      <w:r w:rsidR="00AF672A" w:rsidRPr="00235E72">
        <w:rPr>
          <w:rFonts w:ascii="Times New Roman" w:hAnsi="Times New Roman" w:cs="Times New Roman"/>
          <w:sz w:val="18"/>
          <w:szCs w:val="18"/>
        </w:rPr>
        <w:t xml:space="preserve">1 </w:t>
      </w:r>
      <w:r w:rsidRPr="00235E72">
        <w:rPr>
          <w:rFonts w:ascii="Times New Roman" w:hAnsi="Times New Roman" w:cs="Times New Roman"/>
          <w:sz w:val="18"/>
          <w:szCs w:val="18"/>
        </w:rPr>
        <w:t>/ (</w:t>
      </w:r>
      <w:r w:rsidRPr="00235E72">
        <w:rPr>
          <w:rFonts w:ascii="Cambria Math" w:eastAsia="Calibri" w:hAnsi="Cambria Math" w:cs="Cambria Math"/>
          <w:i/>
          <w:sz w:val="18"/>
          <w:szCs w:val="18"/>
        </w:rPr>
        <w:t>𝑄</w:t>
      </w:r>
      <w:r w:rsidRPr="00235E72">
        <w:rPr>
          <w:rFonts w:ascii="Times New Roman" w:hAnsi="Times New Roman" w:cs="Times New Roman"/>
          <w:sz w:val="18"/>
          <w:szCs w:val="18"/>
        </w:rPr>
        <w:t xml:space="preserve">Y – </w:t>
      </w:r>
      <w:r w:rsidRPr="00235E72">
        <w:rPr>
          <w:rFonts w:ascii="Cambria Math" w:eastAsia="Calibri" w:hAnsi="Cambria Math" w:cs="Cambria Math"/>
          <w:i/>
          <w:sz w:val="18"/>
          <w:szCs w:val="18"/>
        </w:rPr>
        <w:t>𝑄</w:t>
      </w:r>
      <w:r w:rsidR="00AF672A" w:rsidRPr="00235E72">
        <w:rPr>
          <w:rFonts w:ascii="Times New Roman" w:hAnsi="Times New Roman" w:cs="Times New Roman"/>
          <w:sz w:val="18"/>
          <w:szCs w:val="18"/>
        </w:rPr>
        <w:t>X</w:t>
      </w:r>
      <w:r w:rsidRPr="00235E72">
        <w:rPr>
          <w:rFonts w:ascii="Times New Roman" w:hAnsi="Times New Roman" w:cs="Times New Roman"/>
          <w:sz w:val="18"/>
          <w:szCs w:val="18"/>
        </w:rPr>
        <w:t xml:space="preserve">) x ay1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where,  </w:t>
      </w:r>
      <w:r w:rsidRPr="00235E72">
        <w:rPr>
          <w:rFonts w:ascii="Cambria Math" w:eastAsia="Calibri" w:hAnsi="Cambria Math" w:cs="Cambria Math"/>
          <w:iCs/>
          <w:sz w:val="18"/>
          <w:szCs w:val="18"/>
        </w:rPr>
        <w:t>𝑄𝑀</w:t>
      </w:r>
      <w:r w:rsidRPr="00235E72">
        <w:rPr>
          <w:rFonts w:ascii="Times New Roman" w:hAnsi="Times New Roman" w:cs="Times New Roman"/>
          <w:iCs/>
          <w:sz w:val="18"/>
          <w:szCs w:val="18"/>
        </w:rPr>
        <w:t xml:space="preserve"> </w:t>
      </w:r>
      <w:r w:rsidRPr="00235E72">
        <w:rPr>
          <w:rFonts w:ascii="Times New Roman" w:hAnsi="Times New Roman" w:cs="Times New Roman"/>
          <w:sz w:val="18"/>
          <w:szCs w:val="18"/>
        </w:rPr>
        <w:t xml:space="preserve">= </w:t>
      </w:r>
      <w:r w:rsidRPr="00235E72">
        <w:rPr>
          <w:rFonts w:ascii="Cambria Math" w:eastAsia="Calibri" w:hAnsi="Cambria Math" w:cs="Cambria Math"/>
          <w:i/>
          <w:sz w:val="18"/>
          <w:szCs w:val="18"/>
        </w:rPr>
        <w:t>𝐴</w:t>
      </w:r>
      <w:r w:rsidRPr="00235E72">
        <w:rPr>
          <w:rFonts w:ascii="Times New Roman" w:hAnsi="Times New Roman" w:cs="Times New Roman"/>
          <w:sz w:val="18"/>
          <w:szCs w:val="18"/>
        </w:rPr>
        <w:t>2/</w:t>
      </w:r>
      <w:r w:rsidRPr="00235E72">
        <w:rPr>
          <w:rFonts w:ascii="Cambria Math" w:eastAsia="Calibri" w:hAnsi="Cambria Math" w:cs="Cambria Math"/>
          <w:i/>
          <w:sz w:val="18"/>
          <w:szCs w:val="18"/>
        </w:rPr>
        <w:t>𝐴</w:t>
      </w:r>
      <w:r w:rsidRPr="00235E72">
        <w:rPr>
          <w:rFonts w:ascii="Times New Roman" w:hAnsi="Times New Roman" w:cs="Times New Roman"/>
          <w:sz w:val="18"/>
          <w:szCs w:val="18"/>
        </w:rPr>
        <w:t xml:space="preserve">1, </w:t>
      </w:r>
      <w:r w:rsidRPr="00235E72">
        <w:rPr>
          <w:rFonts w:ascii="Cambria Math" w:eastAsia="Calibri" w:hAnsi="Cambria Math" w:cs="Cambria Math"/>
          <w:i/>
          <w:sz w:val="18"/>
          <w:szCs w:val="18"/>
        </w:rPr>
        <w:t>𝑄𝑋</w:t>
      </w:r>
      <w:r w:rsidRPr="00235E72">
        <w:rPr>
          <w:rFonts w:ascii="Times New Roman" w:hAnsi="Times New Roman" w:cs="Times New Roman"/>
          <w:sz w:val="18"/>
          <w:szCs w:val="18"/>
        </w:rPr>
        <w:t xml:space="preserve"> = </w:t>
      </w:r>
      <w:r w:rsidRPr="00235E72">
        <w:rPr>
          <w:rFonts w:ascii="Cambria Math" w:eastAsia="Calibri" w:hAnsi="Cambria Math" w:cs="Cambria Math"/>
          <w:i/>
          <w:sz w:val="18"/>
          <w:szCs w:val="18"/>
        </w:rPr>
        <w:t>𝑎𝑋</w:t>
      </w:r>
      <w:r w:rsidRPr="00235E72">
        <w:rPr>
          <w:rFonts w:ascii="Times New Roman" w:hAnsi="Times New Roman" w:cs="Times New Roman"/>
          <w:sz w:val="18"/>
          <w:szCs w:val="18"/>
        </w:rPr>
        <w:t>2/</w:t>
      </w:r>
      <w:r w:rsidRPr="00235E72">
        <w:rPr>
          <w:rFonts w:ascii="Cambria Math" w:eastAsia="Calibri" w:hAnsi="Cambria Math" w:cs="Cambria Math"/>
          <w:i/>
          <w:sz w:val="18"/>
          <w:szCs w:val="18"/>
        </w:rPr>
        <w:t>𝑎𝑋</w:t>
      </w:r>
      <w:r w:rsidRPr="00235E72">
        <w:rPr>
          <w:rFonts w:ascii="Times New Roman" w:hAnsi="Times New Roman" w:cs="Times New Roman"/>
          <w:sz w:val="18"/>
          <w:szCs w:val="18"/>
        </w:rPr>
        <w:t xml:space="preserve">1, and </w:t>
      </w:r>
      <w:r w:rsidRPr="00235E72">
        <w:rPr>
          <w:rFonts w:ascii="Cambria Math" w:eastAsia="Calibri" w:hAnsi="Cambria Math" w:cs="Cambria Math"/>
          <w:i/>
          <w:sz w:val="18"/>
          <w:szCs w:val="18"/>
        </w:rPr>
        <w:t>𝑄𝑌</w:t>
      </w:r>
      <w:r w:rsidRPr="00235E72">
        <w:rPr>
          <w:rFonts w:ascii="Times New Roman" w:hAnsi="Times New Roman" w:cs="Times New Roman"/>
          <w:sz w:val="18"/>
          <w:szCs w:val="18"/>
        </w:rPr>
        <w:t xml:space="preserve"> = </w:t>
      </w:r>
      <w:r w:rsidRPr="00235E72">
        <w:rPr>
          <w:rFonts w:ascii="Cambria Math" w:eastAsia="Calibri" w:hAnsi="Cambria Math" w:cs="Cambria Math"/>
          <w:i/>
          <w:sz w:val="18"/>
          <w:szCs w:val="18"/>
        </w:rPr>
        <w:t>𝑎𝑌</w:t>
      </w:r>
      <w:r w:rsidRPr="00235E72">
        <w:rPr>
          <w:rFonts w:ascii="Times New Roman" w:hAnsi="Times New Roman" w:cs="Times New Roman"/>
          <w:sz w:val="18"/>
          <w:szCs w:val="18"/>
        </w:rPr>
        <w:t>2/</w:t>
      </w:r>
      <w:r w:rsidRPr="00235E72">
        <w:rPr>
          <w:rFonts w:ascii="Cambria Math" w:eastAsia="Calibri" w:hAnsi="Cambria Math" w:cs="Cambria Math"/>
          <w:i/>
          <w:sz w:val="18"/>
          <w:szCs w:val="18"/>
        </w:rPr>
        <w:t>𝑎𝑌</w:t>
      </w:r>
      <w:r w:rsidRPr="00235E72">
        <w:rPr>
          <w:rFonts w:ascii="Times New Roman" w:hAnsi="Times New Roman" w:cs="Times New Roman"/>
          <w:sz w:val="18"/>
          <w:szCs w:val="18"/>
        </w:rPr>
        <w:t xml:space="preserve">1; </w:t>
      </w:r>
      <w:r w:rsidRPr="00235E72">
        <w:rPr>
          <w:rFonts w:ascii="Cambria Math" w:eastAsia="Calibri" w:hAnsi="Cambria Math" w:cs="Cambria Math"/>
          <w:i/>
          <w:sz w:val="18"/>
          <w:szCs w:val="18"/>
        </w:rPr>
        <w:t>𝐴</w:t>
      </w:r>
      <w:r w:rsidRPr="00235E72">
        <w:rPr>
          <w:rFonts w:ascii="Times New Roman" w:hAnsi="Times New Roman" w:cs="Times New Roman"/>
          <w:sz w:val="18"/>
          <w:szCs w:val="18"/>
        </w:rPr>
        <w:t xml:space="preserve">1 and </w:t>
      </w:r>
      <w:r w:rsidRPr="00235E72">
        <w:rPr>
          <w:rFonts w:ascii="Cambria Math" w:eastAsia="Calibri" w:hAnsi="Cambria Math" w:cs="Cambria Math"/>
          <w:i/>
          <w:sz w:val="18"/>
          <w:szCs w:val="18"/>
        </w:rPr>
        <w:t>𝐴</w:t>
      </w:r>
      <w:r w:rsidRPr="00235E72">
        <w:rPr>
          <w:rFonts w:ascii="Times New Roman" w:hAnsi="Times New Roman" w:cs="Times New Roman"/>
          <w:sz w:val="18"/>
          <w:szCs w:val="18"/>
        </w:rPr>
        <w:t xml:space="preserve">2 are the absorbance of the mixture at 250 nm and 240 nm respectively; </w:t>
      </w:r>
      <w:r w:rsidRPr="00235E72">
        <w:rPr>
          <w:rFonts w:ascii="Cambria Math" w:eastAsia="Calibri" w:hAnsi="Cambria Math" w:cs="Cambria Math"/>
          <w:i/>
          <w:sz w:val="18"/>
          <w:szCs w:val="18"/>
        </w:rPr>
        <w:t>𝑎𝑋</w:t>
      </w:r>
      <w:r w:rsidRPr="00235E72">
        <w:rPr>
          <w:rFonts w:ascii="Times New Roman" w:hAnsi="Times New Roman" w:cs="Times New Roman"/>
          <w:sz w:val="18"/>
          <w:szCs w:val="18"/>
        </w:rPr>
        <w:t xml:space="preserve">1 and </w:t>
      </w:r>
      <w:r w:rsidRPr="00235E72">
        <w:rPr>
          <w:rFonts w:ascii="Cambria Math" w:eastAsia="Calibri" w:hAnsi="Cambria Math" w:cs="Cambria Math"/>
          <w:i/>
          <w:sz w:val="18"/>
          <w:szCs w:val="18"/>
        </w:rPr>
        <w:t>𝑎𝑌</w:t>
      </w:r>
      <w:r w:rsidRPr="00235E72">
        <w:rPr>
          <w:rFonts w:ascii="Times New Roman" w:hAnsi="Times New Roman" w:cs="Times New Roman"/>
          <w:sz w:val="18"/>
          <w:szCs w:val="18"/>
        </w:rPr>
        <w:t xml:space="preserve">1 are </w:t>
      </w:r>
      <w:proofErr w:type="spellStart"/>
      <w:r w:rsidRPr="00235E72">
        <w:rPr>
          <w:rFonts w:ascii="Times New Roman" w:hAnsi="Times New Roman" w:cs="Times New Roman"/>
          <w:sz w:val="18"/>
          <w:szCs w:val="18"/>
        </w:rPr>
        <w:t>absorptivities</w:t>
      </w:r>
      <w:proofErr w:type="spellEnd"/>
      <w:r w:rsidRPr="00235E72">
        <w:rPr>
          <w:rFonts w:ascii="Times New Roman" w:hAnsi="Times New Roman" w:cs="Times New Roman"/>
          <w:sz w:val="18"/>
          <w:szCs w:val="18"/>
        </w:rPr>
        <w:t xml:space="preserve"> at 250 nm (</w:t>
      </w:r>
      <w:r w:rsidRPr="00235E72">
        <w:rPr>
          <w:rFonts w:ascii="Cambria Math" w:eastAsia="Calibri" w:hAnsi="Cambria Math" w:cs="Cambria Math"/>
          <w:i/>
          <w:sz w:val="18"/>
          <w:szCs w:val="18"/>
        </w:rPr>
        <w:t>𝜆</w:t>
      </w:r>
      <w:r w:rsidRPr="00235E72">
        <w:rPr>
          <w:rFonts w:ascii="Times New Roman" w:hAnsi="Times New Roman" w:cs="Times New Roman"/>
          <w:sz w:val="18"/>
          <w:szCs w:val="18"/>
        </w:rPr>
        <w:t xml:space="preserve">1); </w:t>
      </w:r>
      <w:r w:rsidRPr="00235E72">
        <w:rPr>
          <w:rFonts w:ascii="Cambria Math" w:eastAsia="Calibri" w:hAnsi="Cambria Math" w:cs="Cambria Math"/>
          <w:i/>
          <w:sz w:val="18"/>
          <w:szCs w:val="18"/>
        </w:rPr>
        <w:t>𝑎𝑋</w:t>
      </w:r>
      <w:r w:rsidRPr="00235E72">
        <w:rPr>
          <w:rFonts w:ascii="Times New Roman" w:hAnsi="Times New Roman" w:cs="Times New Roman"/>
          <w:sz w:val="18"/>
          <w:szCs w:val="18"/>
        </w:rPr>
        <w:t xml:space="preserve">2 and </w:t>
      </w:r>
      <w:r w:rsidRPr="00235E72">
        <w:rPr>
          <w:rFonts w:ascii="Cambria Math" w:eastAsia="Calibri" w:hAnsi="Cambria Math" w:cs="Cambria Math"/>
          <w:i/>
          <w:sz w:val="18"/>
          <w:szCs w:val="18"/>
        </w:rPr>
        <w:t>𝑎𝑌</w:t>
      </w:r>
      <w:r w:rsidR="00FC24EA" w:rsidRPr="00235E72">
        <w:rPr>
          <w:rFonts w:ascii="Times New Roman" w:hAnsi="Times New Roman" w:cs="Times New Roman"/>
          <w:sz w:val="18"/>
          <w:szCs w:val="18"/>
        </w:rPr>
        <w:t xml:space="preserve">2 are </w:t>
      </w:r>
      <w:proofErr w:type="spellStart"/>
      <w:r w:rsidR="00FC24EA" w:rsidRPr="00235E72">
        <w:rPr>
          <w:rFonts w:ascii="Times New Roman" w:hAnsi="Times New Roman" w:cs="Times New Roman"/>
          <w:sz w:val="18"/>
          <w:szCs w:val="18"/>
        </w:rPr>
        <w:t>absorptivities</w:t>
      </w:r>
      <w:proofErr w:type="spellEnd"/>
      <w:r w:rsidR="00FC24EA" w:rsidRPr="00235E72">
        <w:rPr>
          <w:rFonts w:ascii="Times New Roman" w:hAnsi="Times New Roman" w:cs="Times New Roman"/>
          <w:sz w:val="18"/>
          <w:szCs w:val="18"/>
        </w:rPr>
        <w:t xml:space="preserve"> at 225</w:t>
      </w:r>
      <w:r w:rsidRPr="00235E72">
        <w:rPr>
          <w:rFonts w:ascii="Times New Roman" w:hAnsi="Times New Roman" w:cs="Times New Roman"/>
          <w:sz w:val="18"/>
          <w:szCs w:val="18"/>
        </w:rPr>
        <w:t xml:space="preserve"> nm (</w:t>
      </w:r>
      <w:r w:rsidRPr="00235E72">
        <w:rPr>
          <w:rFonts w:ascii="Cambria Math" w:eastAsia="Calibri" w:hAnsi="Cambria Math" w:cs="Cambria Math"/>
          <w:iCs/>
          <w:sz w:val="18"/>
          <w:szCs w:val="18"/>
        </w:rPr>
        <w:t>𝜆</w:t>
      </w:r>
      <w:r w:rsidRPr="00235E72">
        <w:rPr>
          <w:rFonts w:ascii="Times New Roman" w:hAnsi="Times New Roman" w:cs="Times New Roman"/>
          <w:iCs/>
          <w:sz w:val="18"/>
          <w:szCs w:val="18"/>
        </w:rPr>
        <w:t>2</w:t>
      </w:r>
      <w:r w:rsidRPr="00235E72">
        <w:rPr>
          <w:rFonts w:ascii="Times New Roman" w:hAnsi="Times New Roman" w:cs="Times New Roman"/>
          <w:sz w:val="18"/>
          <w:szCs w:val="18"/>
        </w:rPr>
        <w:t xml:space="preserve">).  </w:t>
      </w:r>
    </w:p>
    <w:p w:rsidR="008E7475" w:rsidRPr="00235E72" w:rsidRDefault="008E7475" w:rsidP="008E3709">
      <w:pPr>
        <w:pStyle w:val="Heading2"/>
        <w:spacing w:after="120" w:line="240" w:lineRule="auto"/>
        <w:ind w:left="0"/>
        <w:jc w:val="both"/>
        <w:rPr>
          <w:sz w:val="18"/>
          <w:szCs w:val="18"/>
        </w:rPr>
      </w:pPr>
      <w:r w:rsidRPr="00235E72">
        <w:rPr>
          <w:sz w:val="18"/>
          <w:szCs w:val="18"/>
        </w:rPr>
        <w:t xml:space="preserve">Method Validation  </w:t>
      </w:r>
    </w:p>
    <w:p w:rsidR="008E7475" w:rsidRPr="00235E72" w:rsidRDefault="00AF672A" w:rsidP="008E3709">
      <w:pPr>
        <w:pStyle w:val="Heading4"/>
        <w:spacing w:after="120" w:line="240" w:lineRule="auto"/>
        <w:ind w:left="0"/>
        <w:rPr>
          <w:sz w:val="18"/>
          <w:szCs w:val="18"/>
        </w:rPr>
      </w:pPr>
      <w:r w:rsidRPr="00235E72">
        <w:rPr>
          <w:sz w:val="18"/>
          <w:szCs w:val="18"/>
        </w:rPr>
        <w:t xml:space="preserve">Linearity and Range: </w:t>
      </w:r>
      <w:r w:rsidR="008E7475" w:rsidRPr="00235E72">
        <w:rPr>
          <w:b w:val="0"/>
          <w:sz w:val="18"/>
          <w:szCs w:val="18"/>
        </w:rPr>
        <w:t>Linearity, consisting of the basic elements input → converter → output, is the assumption that there is a straight-line relationship between the input (</w:t>
      </w:r>
      <w:r w:rsidR="008E7475" w:rsidRPr="00235E72">
        <w:rPr>
          <w:rFonts w:ascii="Cambria Math" w:eastAsia="Calibri" w:hAnsi="Cambria Math" w:cs="Cambria Math"/>
          <w:b w:val="0"/>
          <w:i/>
          <w:sz w:val="18"/>
          <w:szCs w:val="18"/>
        </w:rPr>
        <w:t>𝑥</w:t>
      </w:r>
      <w:r w:rsidR="008E7475" w:rsidRPr="00235E72">
        <w:rPr>
          <w:b w:val="0"/>
          <w:sz w:val="18"/>
          <w:szCs w:val="18"/>
        </w:rPr>
        <w:t>) and output (</w:t>
      </w:r>
      <w:r w:rsidR="008E7475" w:rsidRPr="00235E72">
        <w:rPr>
          <w:rFonts w:ascii="Cambria Math" w:eastAsia="Calibri" w:hAnsi="Cambria Math" w:cs="Cambria Math"/>
          <w:b w:val="0"/>
          <w:i/>
          <w:sz w:val="18"/>
          <w:szCs w:val="18"/>
        </w:rPr>
        <w:t>𝑦</w:t>
      </w:r>
      <w:r w:rsidR="008E7475" w:rsidRPr="00235E72">
        <w:rPr>
          <w:b w:val="0"/>
          <w:sz w:val="18"/>
          <w:szCs w:val="18"/>
        </w:rPr>
        <w:t xml:space="preserve">) variables that can be written mathematically by the expression </w:t>
      </w:r>
      <w:r w:rsidR="008E7475" w:rsidRPr="00235E72">
        <w:rPr>
          <w:rFonts w:ascii="Cambria Math" w:eastAsia="Calibri" w:hAnsi="Cambria Math" w:cs="Cambria Math"/>
          <w:b w:val="0"/>
          <w:i/>
          <w:sz w:val="18"/>
          <w:szCs w:val="18"/>
        </w:rPr>
        <w:t>𝑦</w:t>
      </w:r>
      <w:r w:rsidR="008E7475" w:rsidRPr="00235E72">
        <w:rPr>
          <w:b w:val="0"/>
          <w:sz w:val="18"/>
          <w:szCs w:val="18"/>
        </w:rPr>
        <w:t xml:space="preserve"> = </w:t>
      </w:r>
      <w:r w:rsidR="008E7475" w:rsidRPr="00235E72">
        <w:rPr>
          <w:rFonts w:ascii="Cambria Math" w:eastAsia="Calibri" w:hAnsi="Cambria Math" w:cs="Cambria Math"/>
          <w:b w:val="0"/>
          <w:i/>
          <w:sz w:val="18"/>
          <w:szCs w:val="18"/>
        </w:rPr>
        <w:t>𝑓</w:t>
      </w:r>
      <w:r w:rsidR="008E7475" w:rsidRPr="00235E72">
        <w:rPr>
          <w:b w:val="0"/>
          <w:sz w:val="18"/>
          <w:szCs w:val="18"/>
        </w:rPr>
        <w:t>(</w:t>
      </w:r>
      <w:r w:rsidR="008E7475" w:rsidRPr="00235E72">
        <w:rPr>
          <w:rFonts w:ascii="Cambria Math" w:eastAsia="Calibri" w:hAnsi="Cambria Math" w:cs="Cambria Math"/>
          <w:b w:val="0"/>
          <w:i/>
          <w:sz w:val="18"/>
          <w:szCs w:val="18"/>
        </w:rPr>
        <w:t>𝑥</w:t>
      </w:r>
      <w:r w:rsidR="008E7475" w:rsidRPr="00235E72">
        <w:rPr>
          <w:b w:val="0"/>
          <w:sz w:val="18"/>
          <w:szCs w:val="18"/>
        </w:rPr>
        <w:t xml:space="preserve">), if the straight-line crosses through the origin or by the expression </w:t>
      </w:r>
      <w:r w:rsidR="008E7475" w:rsidRPr="00235E72">
        <w:rPr>
          <w:rFonts w:ascii="Cambria Math" w:eastAsia="Calibri" w:hAnsi="Cambria Math" w:cs="Cambria Math"/>
          <w:b w:val="0"/>
          <w:iCs/>
          <w:sz w:val="18"/>
          <w:szCs w:val="18"/>
        </w:rPr>
        <w:t>𝑦</w:t>
      </w:r>
      <w:r w:rsidR="008E7475" w:rsidRPr="00235E72">
        <w:rPr>
          <w:b w:val="0"/>
          <w:sz w:val="18"/>
          <w:szCs w:val="18"/>
        </w:rPr>
        <w:t xml:space="preserve"> = </w:t>
      </w:r>
      <w:r w:rsidR="008E7475" w:rsidRPr="00235E72">
        <w:rPr>
          <w:rFonts w:ascii="Cambria Math" w:eastAsia="Calibri" w:hAnsi="Cambria Math" w:cs="Cambria Math"/>
          <w:b w:val="0"/>
          <w:i/>
          <w:sz w:val="18"/>
          <w:szCs w:val="18"/>
        </w:rPr>
        <w:t>𝑓</w:t>
      </w:r>
      <w:r w:rsidR="008E7475" w:rsidRPr="00235E72">
        <w:rPr>
          <w:b w:val="0"/>
          <w:sz w:val="18"/>
          <w:szCs w:val="18"/>
        </w:rPr>
        <w:t>(</w:t>
      </w:r>
      <w:r w:rsidR="008E7475" w:rsidRPr="00235E72">
        <w:rPr>
          <w:rFonts w:ascii="Cambria Math" w:eastAsia="Calibri" w:hAnsi="Cambria Math" w:cs="Cambria Math"/>
          <w:b w:val="0"/>
          <w:i/>
          <w:sz w:val="18"/>
          <w:szCs w:val="18"/>
        </w:rPr>
        <w:t>𝑥</w:t>
      </w:r>
      <w:r w:rsidR="008E7475" w:rsidRPr="00235E72">
        <w:rPr>
          <w:b w:val="0"/>
          <w:sz w:val="18"/>
          <w:szCs w:val="18"/>
        </w:rPr>
        <w:t xml:space="preserve">) + </w:t>
      </w:r>
      <w:r w:rsidR="008E7475" w:rsidRPr="00235E72">
        <w:rPr>
          <w:rFonts w:ascii="Cambria Math" w:eastAsia="Calibri" w:hAnsi="Cambria Math" w:cs="Cambria Math"/>
          <w:b w:val="0"/>
          <w:i/>
          <w:sz w:val="18"/>
          <w:szCs w:val="18"/>
        </w:rPr>
        <w:t>𝛿</w:t>
      </w:r>
      <w:r w:rsidR="008E7475" w:rsidRPr="00235E72">
        <w:rPr>
          <w:b w:val="0"/>
          <w:sz w:val="18"/>
          <w:szCs w:val="18"/>
        </w:rPr>
        <w:t xml:space="preserve"> , if the straight line does not cross through the origin.</w:t>
      </w:r>
    </w:p>
    <w:p w:rsidR="008A1614"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The linear range corresponds to the valid interval of functional dependence of the signal on concentration or mass that assumes homoscedasticity of the measurements over the linear range. The linear response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was determined by </w:t>
      </w:r>
      <w:proofErr w:type="spellStart"/>
      <w:r w:rsidRPr="00235E72">
        <w:rPr>
          <w:rFonts w:ascii="Times New Roman" w:hAnsi="Times New Roman" w:cs="Times New Roman"/>
          <w:sz w:val="18"/>
          <w:szCs w:val="18"/>
        </w:rPr>
        <w:t>analyzing</w:t>
      </w:r>
      <w:proofErr w:type="spellEnd"/>
      <w:r w:rsidRPr="00235E72">
        <w:rPr>
          <w:rFonts w:ascii="Times New Roman" w:hAnsi="Times New Roman" w:cs="Times New Roman"/>
          <w:sz w:val="18"/>
          <w:szCs w:val="18"/>
        </w:rPr>
        <w:t xml:space="preserve"> six independent levels of the calibration curve in the range of 5–17.5 </w:t>
      </w:r>
      <w:r w:rsidRPr="00235E72">
        <w:rPr>
          <w:rFonts w:ascii="Cambria Math" w:eastAsia="Calibri" w:hAnsi="Cambria Math" w:cs="Cambria Math"/>
          <w:iCs/>
          <w:sz w:val="18"/>
          <w:szCs w:val="18"/>
        </w:rPr>
        <w:t>𝜇</w:t>
      </w:r>
      <w:r w:rsidRPr="00235E72">
        <w:rPr>
          <w:rFonts w:ascii="Times New Roman" w:hAnsi="Times New Roman" w:cs="Times New Roman"/>
          <w:iCs/>
          <w:sz w:val="18"/>
          <w:szCs w:val="18"/>
        </w:rPr>
        <w:t>g/</w:t>
      </w:r>
      <w:proofErr w:type="spellStart"/>
      <w:r w:rsidRPr="00235E72">
        <w:rPr>
          <w:rFonts w:ascii="Times New Roman" w:hAnsi="Times New Roman" w:cs="Times New Roman"/>
          <w:sz w:val="18"/>
          <w:szCs w:val="18"/>
        </w:rPr>
        <w:t>mL.</w:t>
      </w:r>
      <w:proofErr w:type="spellEnd"/>
    </w:p>
    <w:p w:rsidR="008A1614" w:rsidRPr="00235E72" w:rsidRDefault="00AF672A"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b/>
          <w:bCs/>
          <w:sz w:val="18"/>
          <w:szCs w:val="18"/>
        </w:rPr>
        <w:t>Precision:</w:t>
      </w:r>
      <w:r w:rsidRPr="00235E72">
        <w:rPr>
          <w:rFonts w:ascii="Times New Roman" w:hAnsi="Times New Roman" w:cs="Times New Roman"/>
          <w:sz w:val="18"/>
          <w:szCs w:val="18"/>
        </w:rPr>
        <w:t xml:space="preserve"> </w:t>
      </w:r>
      <w:r w:rsidR="008E7475" w:rsidRPr="00235E72">
        <w:rPr>
          <w:rFonts w:ascii="Times New Roman" w:hAnsi="Times New Roman" w:cs="Times New Roman"/>
          <w:sz w:val="18"/>
          <w:szCs w:val="18"/>
        </w:rPr>
        <w:t xml:space="preserve">ICH guidelines define the term precision as the closeness of agreement between quantity values obtained by </w:t>
      </w:r>
      <w:r w:rsidR="008E7475" w:rsidRPr="00235E72">
        <w:rPr>
          <w:rFonts w:ascii="Times New Roman" w:hAnsi="Times New Roman" w:cs="Times New Roman"/>
          <w:sz w:val="18"/>
          <w:szCs w:val="18"/>
        </w:rPr>
        <w:lastRenderedPageBreak/>
        <w:t xml:space="preserve">replicate measurements of a quantity under specified conditions </w:t>
      </w:r>
      <w:r w:rsidR="008E7475" w:rsidRPr="00235E72">
        <w:rPr>
          <w:rFonts w:ascii="Times New Roman" w:hAnsi="Times New Roman" w:cs="Times New Roman"/>
          <w:sz w:val="18"/>
          <w:szCs w:val="18"/>
          <w:vertAlign w:val="superscript"/>
        </w:rPr>
        <w:t>[11]</w:t>
      </w:r>
      <w:r w:rsidR="008E7475" w:rsidRPr="00235E72">
        <w:rPr>
          <w:rFonts w:ascii="Times New Roman" w:hAnsi="Times New Roman" w:cs="Times New Roman"/>
          <w:sz w:val="18"/>
          <w:szCs w:val="18"/>
        </w:rPr>
        <w:t xml:space="preserve">. Assessing the precision implies expressing numerically the random error or the degree of dispersion of a set of individual measurements by means of the standard deviation, the variance, or the coefficient of variation.  </w:t>
      </w:r>
    </w:p>
    <w:p w:rsidR="008E7475" w:rsidRPr="00235E72" w:rsidRDefault="00AF672A"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b/>
          <w:bCs/>
          <w:sz w:val="18"/>
          <w:szCs w:val="18"/>
        </w:rPr>
        <w:t>Repeatability:</w:t>
      </w:r>
      <w:r w:rsidRPr="00235E72">
        <w:rPr>
          <w:rFonts w:ascii="Times New Roman" w:hAnsi="Times New Roman" w:cs="Times New Roman"/>
          <w:sz w:val="18"/>
          <w:szCs w:val="18"/>
        </w:rPr>
        <w:t xml:space="preserve"> </w:t>
      </w:r>
      <w:r w:rsidR="008E7475" w:rsidRPr="00235E72">
        <w:rPr>
          <w:rFonts w:ascii="Times New Roman" w:hAnsi="Times New Roman" w:cs="Times New Roman"/>
          <w:sz w:val="18"/>
          <w:szCs w:val="18"/>
        </w:rPr>
        <w:t xml:space="preserve">It is the concordance of a series of measurements of the same quantity when the experiments are conducted under same conditions (analyst, apparatus, instrument, and day) in a rapid succession. Standard solution of Metformin and </w:t>
      </w:r>
      <w:proofErr w:type="spellStart"/>
      <w:r w:rsidR="00816940" w:rsidRPr="00235E72">
        <w:rPr>
          <w:rFonts w:ascii="Times New Roman" w:hAnsi="Times New Roman" w:cs="Times New Roman"/>
          <w:sz w:val="18"/>
          <w:szCs w:val="18"/>
        </w:rPr>
        <w:t>Empagliflozin</w:t>
      </w:r>
      <w:proofErr w:type="spellEnd"/>
      <w:r w:rsidR="008E7475" w:rsidRPr="00235E72">
        <w:rPr>
          <w:rFonts w:ascii="Times New Roman" w:hAnsi="Times New Roman" w:cs="Times New Roman"/>
          <w:sz w:val="18"/>
          <w:szCs w:val="18"/>
        </w:rPr>
        <w:t xml:space="preserve"> (10 </w:t>
      </w:r>
      <w:r w:rsidR="008E7475" w:rsidRPr="00235E72">
        <w:rPr>
          <w:rFonts w:ascii="Cambria Math" w:eastAsia="Calibri" w:hAnsi="Cambria Math" w:cs="Cambria Math"/>
          <w:iCs/>
          <w:sz w:val="18"/>
          <w:szCs w:val="18"/>
        </w:rPr>
        <w:t>𝜇</w:t>
      </w:r>
      <w:r w:rsidR="008E7475" w:rsidRPr="00235E72">
        <w:rPr>
          <w:rFonts w:ascii="Times New Roman" w:hAnsi="Times New Roman" w:cs="Times New Roman"/>
          <w:iCs/>
          <w:sz w:val="18"/>
          <w:szCs w:val="18"/>
        </w:rPr>
        <w:t>g</w:t>
      </w:r>
      <w:r w:rsidR="008E7475" w:rsidRPr="00235E72">
        <w:rPr>
          <w:rFonts w:ascii="Times New Roman" w:hAnsi="Times New Roman" w:cs="Times New Roman"/>
          <w:sz w:val="18"/>
          <w:szCs w:val="18"/>
        </w:rPr>
        <w:t xml:space="preserve">/mL each) was prepared and </w:t>
      </w:r>
      <w:proofErr w:type="spellStart"/>
      <w:r w:rsidR="008E7475" w:rsidRPr="00235E72">
        <w:rPr>
          <w:rFonts w:ascii="Times New Roman" w:hAnsi="Times New Roman" w:cs="Times New Roman"/>
          <w:sz w:val="18"/>
          <w:szCs w:val="18"/>
        </w:rPr>
        <w:t>analyzed</w:t>
      </w:r>
      <w:proofErr w:type="spellEnd"/>
      <w:r w:rsidR="008E7475" w:rsidRPr="00235E72">
        <w:rPr>
          <w:rFonts w:ascii="Times New Roman" w:hAnsi="Times New Roman" w:cs="Times New Roman"/>
          <w:sz w:val="18"/>
          <w:szCs w:val="18"/>
        </w:rPr>
        <w:t xml:space="preserve"> six times as per the proposed method.</w:t>
      </w:r>
    </w:p>
    <w:p w:rsidR="008E7475" w:rsidRPr="00235E72" w:rsidRDefault="00AF672A" w:rsidP="008E3709">
      <w:pPr>
        <w:pStyle w:val="Heading4"/>
        <w:spacing w:after="120" w:line="240" w:lineRule="auto"/>
        <w:ind w:left="0"/>
        <w:rPr>
          <w:sz w:val="18"/>
          <w:szCs w:val="18"/>
        </w:rPr>
      </w:pPr>
      <w:r w:rsidRPr="00235E72">
        <w:rPr>
          <w:sz w:val="18"/>
          <w:szCs w:val="18"/>
        </w:rPr>
        <w:t xml:space="preserve">Intermediate Precision: </w:t>
      </w:r>
      <w:r w:rsidR="008E7475" w:rsidRPr="00235E72">
        <w:rPr>
          <w:b w:val="0"/>
          <w:sz w:val="18"/>
          <w:szCs w:val="18"/>
        </w:rPr>
        <w:t xml:space="preserve">It is the concordance of a series of measurements of the same quantity when the experiments are conducted within the same laboratory under different conditions (analyst, apparatus, instrument, and day). Standard solution of Metformin and </w:t>
      </w:r>
      <w:proofErr w:type="spellStart"/>
      <w:r w:rsidR="00816940" w:rsidRPr="00235E72">
        <w:rPr>
          <w:b w:val="0"/>
          <w:sz w:val="18"/>
          <w:szCs w:val="18"/>
        </w:rPr>
        <w:t>Empagliflozin</w:t>
      </w:r>
      <w:proofErr w:type="spellEnd"/>
      <w:r w:rsidR="008E7475" w:rsidRPr="00235E72">
        <w:rPr>
          <w:b w:val="0"/>
          <w:sz w:val="18"/>
          <w:szCs w:val="18"/>
        </w:rPr>
        <w:t xml:space="preserve"> (10 </w:t>
      </w:r>
      <w:r w:rsidR="008E7475" w:rsidRPr="00235E72">
        <w:rPr>
          <w:rFonts w:ascii="Cambria Math" w:eastAsia="Calibri" w:hAnsi="Cambria Math" w:cs="Cambria Math"/>
          <w:b w:val="0"/>
          <w:iCs/>
          <w:sz w:val="18"/>
          <w:szCs w:val="18"/>
        </w:rPr>
        <w:t>𝜇</w:t>
      </w:r>
      <w:r w:rsidR="008E7475" w:rsidRPr="00235E72">
        <w:rPr>
          <w:b w:val="0"/>
          <w:iCs/>
          <w:sz w:val="18"/>
          <w:szCs w:val="18"/>
        </w:rPr>
        <w:t>g/</w:t>
      </w:r>
      <w:r w:rsidR="008E7475" w:rsidRPr="00235E72">
        <w:rPr>
          <w:b w:val="0"/>
          <w:sz w:val="18"/>
          <w:szCs w:val="18"/>
        </w:rPr>
        <w:t xml:space="preserve">mL each) was prepared and </w:t>
      </w:r>
      <w:proofErr w:type="spellStart"/>
      <w:r w:rsidR="008E7475" w:rsidRPr="00235E72">
        <w:rPr>
          <w:b w:val="0"/>
          <w:sz w:val="18"/>
          <w:szCs w:val="18"/>
        </w:rPr>
        <w:t>analyzed</w:t>
      </w:r>
      <w:proofErr w:type="spellEnd"/>
      <w:r w:rsidR="008E7475" w:rsidRPr="00235E72">
        <w:rPr>
          <w:b w:val="0"/>
          <w:sz w:val="18"/>
          <w:szCs w:val="18"/>
        </w:rPr>
        <w:t xml:space="preserve"> as per the proposed method.</w:t>
      </w:r>
    </w:p>
    <w:p w:rsidR="008E7475" w:rsidRPr="00235E72" w:rsidRDefault="00AF672A" w:rsidP="008E3709">
      <w:pPr>
        <w:pStyle w:val="Heading4"/>
        <w:spacing w:after="120" w:line="240" w:lineRule="auto"/>
        <w:ind w:left="0"/>
        <w:rPr>
          <w:sz w:val="18"/>
          <w:szCs w:val="18"/>
        </w:rPr>
      </w:pPr>
      <w:r w:rsidRPr="00235E72">
        <w:rPr>
          <w:sz w:val="18"/>
          <w:szCs w:val="18"/>
        </w:rPr>
        <w:t xml:space="preserve">Accuracy (%Recovery): </w:t>
      </w:r>
      <w:r w:rsidR="008E7475" w:rsidRPr="00235E72">
        <w:rPr>
          <w:b w:val="0"/>
          <w:sz w:val="18"/>
          <w:szCs w:val="18"/>
        </w:rPr>
        <w:t xml:space="preserve">The accuracy of an analytical procedure expresses the closeness of agreement between the value that is accepted either as a conventional true value or an accepted reference value and the value found. The recovery experiments were carried out in triplicate by spiking previously </w:t>
      </w:r>
      <w:proofErr w:type="spellStart"/>
      <w:r w:rsidR="008E7475" w:rsidRPr="00235E72">
        <w:rPr>
          <w:b w:val="0"/>
          <w:sz w:val="18"/>
          <w:szCs w:val="18"/>
        </w:rPr>
        <w:t>analyzed</w:t>
      </w:r>
      <w:proofErr w:type="spellEnd"/>
      <w:r w:rsidR="008E7475" w:rsidRPr="00235E72">
        <w:rPr>
          <w:b w:val="0"/>
          <w:sz w:val="18"/>
          <w:szCs w:val="18"/>
        </w:rPr>
        <w:t xml:space="preserve"> samples with three different concentrations of standards</w:t>
      </w:r>
      <w:r w:rsidR="008E7475" w:rsidRPr="00235E72">
        <w:rPr>
          <w:sz w:val="18"/>
          <w:szCs w:val="18"/>
        </w:rPr>
        <w:t xml:space="preserve">.  </w:t>
      </w:r>
    </w:p>
    <w:p w:rsidR="00AF672A" w:rsidRPr="00235E72" w:rsidRDefault="008E7475" w:rsidP="008E3709">
      <w:pPr>
        <w:pStyle w:val="Heading4"/>
        <w:spacing w:after="120" w:line="240" w:lineRule="auto"/>
        <w:ind w:left="0"/>
        <w:rPr>
          <w:b w:val="0"/>
          <w:sz w:val="18"/>
          <w:szCs w:val="18"/>
        </w:rPr>
      </w:pPr>
      <w:r w:rsidRPr="00235E72">
        <w:rPr>
          <w:sz w:val="18"/>
          <w:szCs w:val="18"/>
        </w:rPr>
        <w:t>Limit of Detection (LOD) an</w:t>
      </w:r>
      <w:r w:rsidR="00AF672A" w:rsidRPr="00235E72">
        <w:rPr>
          <w:sz w:val="18"/>
          <w:szCs w:val="18"/>
        </w:rPr>
        <w:t xml:space="preserve">d Limit of Quantification (LOQ): </w:t>
      </w:r>
      <w:r w:rsidRPr="00235E72">
        <w:rPr>
          <w:b w:val="0"/>
          <w:sz w:val="18"/>
          <w:szCs w:val="18"/>
        </w:rPr>
        <w:t xml:space="preserve">The detection limit of an individual analytical procedure is the lowest amount of </w:t>
      </w:r>
      <w:proofErr w:type="spellStart"/>
      <w:r w:rsidRPr="00235E72">
        <w:rPr>
          <w:b w:val="0"/>
          <w:sz w:val="18"/>
          <w:szCs w:val="18"/>
        </w:rPr>
        <w:t>analyte</w:t>
      </w:r>
      <w:proofErr w:type="spellEnd"/>
      <w:r w:rsidRPr="00235E72">
        <w:rPr>
          <w:b w:val="0"/>
          <w:sz w:val="18"/>
          <w:szCs w:val="18"/>
        </w:rPr>
        <w:t xml:space="preserve"> in the sample that can be detected but not necessarily quantitated as an exact value. The quantitation limit of an individual analytical procedure is the lowest amount of </w:t>
      </w:r>
      <w:proofErr w:type="spellStart"/>
      <w:r w:rsidRPr="00235E72">
        <w:rPr>
          <w:b w:val="0"/>
          <w:sz w:val="18"/>
          <w:szCs w:val="18"/>
        </w:rPr>
        <w:t>analyte</w:t>
      </w:r>
      <w:proofErr w:type="spellEnd"/>
      <w:r w:rsidRPr="00235E72">
        <w:rPr>
          <w:b w:val="0"/>
          <w:sz w:val="18"/>
          <w:szCs w:val="18"/>
        </w:rPr>
        <w:t xml:space="preserve"> in the sample that can be quantitatively determined with suitable precision and accuracy. The LOD and LOQ of the proposed method were determin</w:t>
      </w:r>
      <w:r w:rsidR="00AF672A" w:rsidRPr="00235E72">
        <w:rPr>
          <w:b w:val="0"/>
          <w:sz w:val="18"/>
          <w:szCs w:val="18"/>
        </w:rPr>
        <w:t>ed by using calibration curve:</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LOD = 3.3 x [Standard deviation of the response (Y-intercept of calibration curve)/ Slope of the calibration curve]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LOQ = 10 x [Standard deviation of the response (Y-intercept of calibration curve)/ Slope of the calibration curve]</w:t>
      </w:r>
    </w:p>
    <w:p w:rsidR="008E7475" w:rsidRPr="00235E72" w:rsidRDefault="00AF672A" w:rsidP="008E3709">
      <w:pPr>
        <w:pStyle w:val="Heading4"/>
        <w:spacing w:after="120" w:line="240" w:lineRule="auto"/>
        <w:ind w:left="0"/>
        <w:rPr>
          <w:sz w:val="18"/>
          <w:szCs w:val="18"/>
        </w:rPr>
      </w:pPr>
      <w:proofErr w:type="spellStart"/>
      <w:r w:rsidRPr="00235E72">
        <w:rPr>
          <w:sz w:val="18"/>
          <w:szCs w:val="18"/>
        </w:rPr>
        <w:t>Sandell’s</w:t>
      </w:r>
      <w:proofErr w:type="spellEnd"/>
      <w:r w:rsidRPr="00235E72">
        <w:rPr>
          <w:sz w:val="18"/>
          <w:szCs w:val="18"/>
        </w:rPr>
        <w:t xml:space="preserve"> Sensitivity</w:t>
      </w:r>
      <w:r w:rsidRPr="00235E72">
        <w:rPr>
          <w:b w:val="0"/>
          <w:sz w:val="18"/>
          <w:szCs w:val="18"/>
        </w:rPr>
        <w:t xml:space="preserve">: </w:t>
      </w:r>
      <w:proofErr w:type="spellStart"/>
      <w:r w:rsidR="008E7475" w:rsidRPr="00235E72">
        <w:rPr>
          <w:b w:val="0"/>
          <w:sz w:val="18"/>
          <w:szCs w:val="18"/>
        </w:rPr>
        <w:t>Sandell’s</w:t>
      </w:r>
      <w:proofErr w:type="spellEnd"/>
      <w:r w:rsidR="008E7475" w:rsidRPr="00235E72">
        <w:rPr>
          <w:b w:val="0"/>
          <w:sz w:val="18"/>
          <w:szCs w:val="18"/>
        </w:rPr>
        <w:t xml:space="preserve"> sensitivity, the concentration of the </w:t>
      </w:r>
      <w:proofErr w:type="spellStart"/>
      <w:r w:rsidR="008E7475" w:rsidRPr="00235E72">
        <w:rPr>
          <w:b w:val="0"/>
          <w:sz w:val="18"/>
          <w:szCs w:val="18"/>
        </w:rPr>
        <w:t>analyte</w:t>
      </w:r>
      <w:proofErr w:type="spellEnd"/>
      <w:r w:rsidR="008E7475" w:rsidRPr="00235E72">
        <w:rPr>
          <w:b w:val="0"/>
          <w:sz w:val="18"/>
          <w:szCs w:val="18"/>
        </w:rPr>
        <w:t xml:space="preserve"> (in </w:t>
      </w:r>
      <w:r w:rsidR="008E7475" w:rsidRPr="00235E72">
        <w:rPr>
          <w:rFonts w:ascii="Cambria Math" w:eastAsia="Calibri" w:hAnsi="Cambria Math" w:cs="Cambria Math"/>
          <w:b w:val="0"/>
          <w:sz w:val="18"/>
          <w:szCs w:val="18"/>
        </w:rPr>
        <w:t>𝜇</w:t>
      </w:r>
      <w:r w:rsidR="008E7475" w:rsidRPr="00235E72">
        <w:rPr>
          <w:b w:val="0"/>
          <w:sz w:val="18"/>
          <w:szCs w:val="18"/>
        </w:rPr>
        <w:t xml:space="preserve">g/mL or </w:t>
      </w:r>
      <w:r w:rsidR="008E7475" w:rsidRPr="00235E72">
        <w:rPr>
          <w:rFonts w:ascii="Cambria Math" w:eastAsia="Calibri" w:hAnsi="Cambria Math" w:cs="Cambria Math"/>
          <w:b w:val="0"/>
          <w:iCs/>
          <w:sz w:val="18"/>
          <w:szCs w:val="18"/>
        </w:rPr>
        <w:t>𝜇</w:t>
      </w:r>
      <w:r w:rsidR="008E7475" w:rsidRPr="00235E72">
        <w:rPr>
          <w:b w:val="0"/>
          <w:iCs/>
          <w:sz w:val="18"/>
          <w:szCs w:val="18"/>
        </w:rPr>
        <w:t>g</w:t>
      </w:r>
      <w:r w:rsidR="008E7475" w:rsidRPr="00235E72">
        <w:rPr>
          <w:b w:val="0"/>
          <w:sz w:val="18"/>
          <w:szCs w:val="18"/>
        </w:rPr>
        <w:t>/cm</w:t>
      </w:r>
      <w:r w:rsidR="008E7475" w:rsidRPr="00235E72">
        <w:rPr>
          <w:b w:val="0"/>
          <w:sz w:val="18"/>
          <w:szCs w:val="18"/>
          <w:vertAlign w:val="superscript"/>
        </w:rPr>
        <w:t>2</w:t>
      </w:r>
      <w:r w:rsidR="008E7475" w:rsidRPr="00235E72">
        <w:rPr>
          <w:b w:val="0"/>
          <w:sz w:val="18"/>
          <w:szCs w:val="18"/>
        </w:rPr>
        <w:t xml:space="preserve">) that will give </w:t>
      </w:r>
      <w:r w:rsidR="008A1614" w:rsidRPr="00235E72">
        <w:rPr>
          <w:b w:val="0"/>
          <w:sz w:val="18"/>
          <w:szCs w:val="18"/>
        </w:rPr>
        <w:t>an absorbance</w:t>
      </w:r>
      <w:r w:rsidR="008E7475" w:rsidRPr="00235E72">
        <w:rPr>
          <w:b w:val="0"/>
          <w:sz w:val="18"/>
          <w:szCs w:val="18"/>
        </w:rPr>
        <w:t xml:space="preserve"> of 0.001 in a cell of path length 1cm, was calculated. It gives valuable information regarding sensitivity of the method.</w:t>
      </w:r>
    </w:p>
    <w:p w:rsidR="008E7475" w:rsidRPr="00235E72" w:rsidRDefault="00C20F7D" w:rsidP="008E3709">
      <w:pPr>
        <w:pStyle w:val="Heading2"/>
        <w:spacing w:after="120" w:line="240" w:lineRule="auto"/>
        <w:ind w:left="0"/>
        <w:jc w:val="both"/>
        <w:rPr>
          <w:color w:val="0070C0"/>
          <w:sz w:val="22"/>
          <w:szCs w:val="18"/>
        </w:rPr>
      </w:pPr>
      <w:r w:rsidRPr="00235E72">
        <w:rPr>
          <w:color w:val="0070C0"/>
          <w:sz w:val="22"/>
          <w:szCs w:val="18"/>
        </w:rPr>
        <w:t xml:space="preserve">RESULTS AND DISCUSSION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The solutions of 10</w:t>
      </w:r>
      <w:r w:rsidRPr="00235E72">
        <w:rPr>
          <w:rFonts w:ascii="Cambria Math" w:eastAsia="Calibri" w:hAnsi="Cambria Math" w:cs="Cambria Math"/>
          <w:iCs/>
          <w:sz w:val="18"/>
          <w:szCs w:val="18"/>
        </w:rPr>
        <w:t>𝜇</w:t>
      </w:r>
      <w:r w:rsidRPr="00235E72">
        <w:rPr>
          <w:rFonts w:ascii="Times New Roman" w:hAnsi="Times New Roman" w:cs="Times New Roman"/>
          <w:sz w:val="18"/>
          <w:szCs w:val="18"/>
        </w:rPr>
        <w:t xml:space="preserve">g/mL of both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were </w:t>
      </w:r>
      <w:proofErr w:type="spellStart"/>
      <w:r w:rsidRPr="00235E72">
        <w:rPr>
          <w:rFonts w:ascii="Times New Roman" w:hAnsi="Times New Roman" w:cs="Times New Roman"/>
          <w:sz w:val="18"/>
          <w:szCs w:val="18"/>
        </w:rPr>
        <w:t>analyzed</w:t>
      </w:r>
      <w:proofErr w:type="spellEnd"/>
      <w:r w:rsidRPr="00235E72">
        <w:rPr>
          <w:rFonts w:ascii="Times New Roman" w:hAnsi="Times New Roman" w:cs="Times New Roman"/>
          <w:sz w:val="18"/>
          <w:szCs w:val="18"/>
        </w:rPr>
        <w:t xml:space="preserve"> and the </w:t>
      </w:r>
      <w:r w:rsidRPr="00235E72">
        <w:rPr>
          <w:rFonts w:ascii="Cambria Math" w:eastAsia="Calibri" w:hAnsi="Cambria Math" w:cs="Cambria Math"/>
          <w:iCs/>
          <w:sz w:val="18"/>
          <w:szCs w:val="18"/>
        </w:rPr>
        <w:t>𝜆</w:t>
      </w:r>
      <w:r w:rsidR="00FC24EA" w:rsidRPr="00235E72">
        <w:rPr>
          <w:rFonts w:ascii="Times New Roman" w:hAnsi="Times New Roman" w:cs="Times New Roman"/>
          <w:sz w:val="18"/>
          <w:szCs w:val="18"/>
        </w:rPr>
        <w:t>max was found to be 225</w:t>
      </w:r>
      <w:r w:rsidRPr="00235E72">
        <w:rPr>
          <w:rFonts w:ascii="Times New Roman" w:hAnsi="Times New Roman" w:cs="Times New Roman"/>
          <w:sz w:val="18"/>
          <w:szCs w:val="18"/>
        </w:rPr>
        <w:t xml:space="preserve"> nm and 240 nm respectively. Two </w:t>
      </w:r>
      <w:proofErr w:type="spellStart"/>
      <w:r w:rsidRPr="00235E72">
        <w:rPr>
          <w:rFonts w:ascii="Times New Roman" w:hAnsi="Times New Roman" w:cs="Times New Roman"/>
          <w:sz w:val="18"/>
          <w:szCs w:val="18"/>
        </w:rPr>
        <w:t>iso</w:t>
      </w:r>
      <w:proofErr w:type="spellEnd"/>
      <w:r w:rsidRPr="00235E72">
        <w:rPr>
          <w:rFonts w:ascii="Times New Roman" w:hAnsi="Times New Roman" w:cs="Times New Roman"/>
          <w:sz w:val="18"/>
          <w:szCs w:val="18"/>
        </w:rPr>
        <w:t>-absorptive points: 230 nm and 250 nm were obtained by overlaying</w:t>
      </w:r>
      <w:r w:rsidR="00FC24EA" w:rsidRPr="00235E72">
        <w:rPr>
          <w:rFonts w:ascii="Times New Roman" w:hAnsi="Times New Roman" w:cs="Times New Roman"/>
          <w:sz w:val="18"/>
          <w:szCs w:val="18"/>
        </w:rPr>
        <w:t xml:space="preserve"> the spectra </w:t>
      </w:r>
      <w:r w:rsidRPr="00235E72">
        <w:rPr>
          <w:rFonts w:ascii="Times New Roman" w:hAnsi="Times New Roman" w:cs="Times New Roman"/>
          <w:sz w:val="18"/>
          <w:szCs w:val="18"/>
        </w:rPr>
        <w:t xml:space="preserve">and the </w:t>
      </w:r>
      <w:proofErr w:type="spellStart"/>
      <w:r w:rsidRPr="00235E72">
        <w:rPr>
          <w:rFonts w:ascii="Times New Roman" w:hAnsi="Times New Roman" w:cs="Times New Roman"/>
          <w:sz w:val="18"/>
          <w:szCs w:val="18"/>
        </w:rPr>
        <w:t>iso</w:t>
      </w:r>
      <w:proofErr w:type="spellEnd"/>
      <w:r w:rsidRPr="00235E72">
        <w:rPr>
          <w:rFonts w:ascii="Times New Roman" w:hAnsi="Times New Roman" w:cs="Times New Roman"/>
          <w:sz w:val="18"/>
          <w:szCs w:val="18"/>
        </w:rPr>
        <w:t xml:space="preserve">-absorptive point 250 nm was selected for further analysis.  </w:t>
      </w:r>
    </w:p>
    <w:p w:rsidR="008E7475" w:rsidRPr="00235E72" w:rsidRDefault="008E7475"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The calibration curve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individually and </w:t>
      </w:r>
      <w:r w:rsidR="003F1D01" w:rsidRPr="00235E72">
        <w:rPr>
          <w:rFonts w:ascii="Times New Roman" w:hAnsi="Times New Roman" w:cs="Times New Roman"/>
          <w:sz w:val="18"/>
          <w:szCs w:val="18"/>
        </w:rPr>
        <w:t>the mixture of both drug</w:t>
      </w:r>
      <w:r w:rsidR="00FC24EA" w:rsidRPr="00235E72">
        <w:rPr>
          <w:rFonts w:ascii="Times New Roman" w:hAnsi="Times New Roman" w:cs="Times New Roman"/>
          <w:sz w:val="18"/>
          <w:szCs w:val="18"/>
        </w:rPr>
        <w:t xml:space="preserve"> at 225</w:t>
      </w:r>
      <w:r w:rsidRPr="00235E72">
        <w:rPr>
          <w:rFonts w:ascii="Times New Roman" w:hAnsi="Times New Roman" w:cs="Times New Roman"/>
          <w:sz w:val="18"/>
          <w:szCs w:val="18"/>
        </w:rPr>
        <w:t xml:space="preserve"> nm (</w:t>
      </w:r>
      <w:r w:rsidRPr="00235E72">
        <w:rPr>
          <w:rFonts w:ascii="Cambria Math" w:eastAsia="Calibri" w:hAnsi="Cambria Math" w:cs="Cambria Math"/>
          <w:sz w:val="18"/>
          <w:szCs w:val="18"/>
        </w:rPr>
        <w:t>𝜆</w:t>
      </w:r>
      <w:r w:rsidRPr="00235E72">
        <w:rPr>
          <w:rFonts w:ascii="Times New Roman" w:hAnsi="Times New Roman" w:cs="Times New Roman"/>
          <w:sz w:val="18"/>
          <w:szCs w:val="18"/>
        </w:rPr>
        <w:t>1) and 250 nm (</w:t>
      </w:r>
      <w:r w:rsidRPr="00235E72">
        <w:rPr>
          <w:rFonts w:ascii="Cambria Math" w:eastAsia="Calibri" w:hAnsi="Cambria Math" w:cs="Cambria Math"/>
          <w:sz w:val="18"/>
          <w:szCs w:val="18"/>
        </w:rPr>
        <w:t>𝜆</w:t>
      </w:r>
      <w:r w:rsidRPr="00235E72">
        <w:rPr>
          <w:rFonts w:ascii="Times New Roman" w:hAnsi="Times New Roman" w:cs="Times New Roman"/>
          <w:sz w:val="18"/>
          <w:szCs w:val="18"/>
        </w:rPr>
        <w:t>2) were plotted (</w:t>
      </w:r>
      <w:r w:rsidR="001C1733" w:rsidRPr="00235E72">
        <w:rPr>
          <w:rFonts w:ascii="Times New Roman" w:hAnsi="Times New Roman" w:cs="Times New Roman"/>
          <w:sz w:val="18"/>
          <w:szCs w:val="18"/>
        </w:rPr>
        <w:t>Figures 1 and 2</w:t>
      </w:r>
      <w:r w:rsidRPr="00235E72">
        <w:rPr>
          <w:rFonts w:ascii="Times New Roman" w:hAnsi="Times New Roman" w:cs="Times New Roman"/>
          <w:sz w:val="18"/>
          <w:szCs w:val="18"/>
        </w:rPr>
        <w:t xml:space="preserve">). The relationship between the absorbance and the concentration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was linear in the range of 5–17.5</w:t>
      </w:r>
      <w:r w:rsidRPr="00235E72">
        <w:rPr>
          <w:rFonts w:ascii="Cambria Math" w:eastAsia="Calibri" w:hAnsi="Cambria Math" w:cs="Cambria Math"/>
          <w:sz w:val="18"/>
          <w:szCs w:val="18"/>
        </w:rPr>
        <w:t>𝜇</w:t>
      </w:r>
      <w:r w:rsidR="00FC24EA" w:rsidRPr="00235E72">
        <w:rPr>
          <w:rFonts w:ascii="Times New Roman" w:hAnsi="Times New Roman" w:cs="Times New Roman"/>
          <w:sz w:val="18"/>
          <w:szCs w:val="18"/>
        </w:rPr>
        <w:t>g/mL at both wavelengths 225</w:t>
      </w:r>
      <w:r w:rsidRPr="00235E72">
        <w:rPr>
          <w:rFonts w:ascii="Times New Roman" w:hAnsi="Times New Roman" w:cs="Times New Roman"/>
          <w:sz w:val="18"/>
          <w:szCs w:val="18"/>
        </w:rPr>
        <w:t xml:space="preserve">nm and 250nm. The representative linear equations were calculated by the least squares method and the correlation coefficients were linear </w:t>
      </w:r>
      <w:r w:rsidR="001C1733" w:rsidRPr="00235E72">
        <w:rPr>
          <w:rFonts w:ascii="Times New Roman" w:hAnsi="Times New Roman" w:cs="Times New Roman"/>
          <w:sz w:val="18"/>
          <w:szCs w:val="18"/>
        </w:rPr>
        <w:t>(Table 1</w:t>
      </w:r>
      <w:r w:rsidRPr="00235E72">
        <w:rPr>
          <w:rFonts w:ascii="Times New Roman" w:hAnsi="Times New Roman" w:cs="Times New Roman"/>
          <w:sz w:val="18"/>
          <w:szCs w:val="18"/>
        </w:rPr>
        <w:t xml:space="preserve">). Evaluation of repeatability and intermediate precision was done and coefficients of variation (CV) or </w:t>
      </w:r>
      <w:proofErr w:type="spellStart"/>
      <w:r w:rsidRPr="00235E72">
        <w:rPr>
          <w:rFonts w:ascii="Times New Roman" w:hAnsi="Times New Roman" w:cs="Times New Roman"/>
          <w:sz w:val="18"/>
          <w:szCs w:val="18"/>
        </w:rPr>
        <w:t>percent</w:t>
      </w:r>
      <w:proofErr w:type="spellEnd"/>
      <w:r w:rsidRPr="00235E72">
        <w:rPr>
          <w:rFonts w:ascii="Times New Roman" w:hAnsi="Times New Roman" w:cs="Times New Roman"/>
          <w:sz w:val="18"/>
          <w:szCs w:val="18"/>
        </w:rPr>
        <w:t xml:space="preserve"> relative standard deviation (%RSD) values were &lt;2%, indicating good precision </w:t>
      </w:r>
      <w:r w:rsidR="001C1733" w:rsidRPr="00235E72">
        <w:rPr>
          <w:rFonts w:ascii="Times New Roman" w:hAnsi="Times New Roman" w:cs="Times New Roman"/>
          <w:sz w:val="18"/>
          <w:szCs w:val="18"/>
        </w:rPr>
        <w:t>(Table 2</w:t>
      </w:r>
      <w:r w:rsidRPr="00235E72">
        <w:rPr>
          <w:rFonts w:ascii="Times New Roman" w:hAnsi="Times New Roman" w:cs="Times New Roman"/>
          <w:sz w:val="18"/>
          <w:szCs w:val="18"/>
        </w:rPr>
        <w:t xml:space="preserve">). Accuracy of the proposed method was calculated by </w:t>
      </w:r>
      <w:proofErr w:type="spellStart"/>
      <w:r w:rsidRPr="00235E72">
        <w:rPr>
          <w:rFonts w:ascii="Times New Roman" w:hAnsi="Times New Roman" w:cs="Times New Roman"/>
          <w:sz w:val="18"/>
          <w:szCs w:val="18"/>
        </w:rPr>
        <w:t>percent</w:t>
      </w:r>
      <w:proofErr w:type="spellEnd"/>
      <w:r w:rsidRPr="00235E72">
        <w:rPr>
          <w:rFonts w:ascii="Times New Roman" w:hAnsi="Times New Roman" w:cs="Times New Roman"/>
          <w:sz w:val="18"/>
          <w:szCs w:val="18"/>
        </w:rPr>
        <w:t xml:space="preserve"> recovery in standard addition metho</w:t>
      </w:r>
      <w:r w:rsidR="00C85574" w:rsidRPr="00235E72">
        <w:rPr>
          <w:rFonts w:ascii="Times New Roman" w:hAnsi="Times New Roman" w:cs="Times New Roman"/>
          <w:sz w:val="18"/>
          <w:szCs w:val="18"/>
        </w:rPr>
        <w:t>d. Accuracy ranged between 100.28 and 104.24% for Metformin and 96.88 and 104.06</w:t>
      </w:r>
      <w:r w:rsidRPr="00235E72">
        <w:rPr>
          <w:rFonts w:ascii="Times New Roman" w:hAnsi="Times New Roman" w:cs="Times New Roman"/>
          <w:sz w:val="18"/>
          <w:szCs w:val="18"/>
        </w:rPr>
        <w:t xml:space="preserve">% for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(Table 3). The limit of detection (LOD)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at </w:t>
      </w:r>
      <w:proofErr w:type="spellStart"/>
      <w:r w:rsidRPr="00235E72">
        <w:rPr>
          <w:rFonts w:ascii="Times New Roman" w:hAnsi="Times New Roman" w:cs="Times New Roman"/>
          <w:sz w:val="18"/>
          <w:szCs w:val="18"/>
        </w:rPr>
        <w:t>iso</w:t>
      </w:r>
      <w:proofErr w:type="spellEnd"/>
      <w:r w:rsidRPr="00235E72">
        <w:rPr>
          <w:rFonts w:ascii="Times New Roman" w:hAnsi="Times New Roman" w:cs="Times New Roman"/>
          <w:sz w:val="18"/>
          <w:szCs w:val="18"/>
        </w:rPr>
        <w:t xml:space="preserve">-absorptive point (250 nm) was 0.106 </w:t>
      </w:r>
      <w:r w:rsidRPr="00235E72">
        <w:rPr>
          <w:rFonts w:ascii="Cambria Math" w:eastAsia="Calibri" w:hAnsi="Cambria Math" w:cs="Cambria Math"/>
          <w:sz w:val="18"/>
          <w:szCs w:val="18"/>
        </w:rPr>
        <w:t>𝜇</w:t>
      </w:r>
      <w:r w:rsidRPr="00235E72">
        <w:rPr>
          <w:rFonts w:ascii="Times New Roman" w:hAnsi="Times New Roman" w:cs="Times New Roman"/>
          <w:sz w:val="18"/>
          <w:szCs w:val="18"/>
        </w:rPr>
        <w:t>g/mL and 0.078</w:t>
      </w:r>
      <w:r w:rsidRPr="00235E72">
        <w:rPr>
          <w:rFonts w:ascii="Cambria Math" w:eastAsia="Calibri" w:hAnsi="Cambria Math" w:cs="Cambria Math"/>
          <w:sz w:val="18"/>
          <w:szCs w:val="18"/>
        </w:rPr>
        <w:t>𝜇</w:t>
      </w:r>
      <w:r w:rsidR="00FC24EA" w:rsidRPr="00235E72">
        <w:rPr>
          <w:rFonts w:ascii="Times New Roman" w:hAnsi="Times New Roman" w:cs="Times New Roman"/>
          <w:sz w:val="18"/>
          <w:szCs w:val="18"/>
        </w:rPr>
        <w:t>g/mL; at 225</w:t>
      </w:r>
      <w:r w:rsidRPr="00235E72">
        <w:rPr>
          <w:rFonts w:ascii="Times New Roman" w:hAnsi="Times New Roman" w:cs="Times New Roman"/>
          <w:sz w:val="18"/>
          <w:szCs w:val="18"/>
        </w:rPr>
        <w:t xml:space="preserve"> nm, LOD was 0.186</w:t>
      </w:r>
      <w:r w:rsidRPr="00235E72">
        <w:rPr>
          <w:rFonts w:ascii="Cambria Math" w:eastAsia="Calibri" w:hAnsi="Cambria Math" w:cs="Cambria Math"/>
          <w:sz w:val="18"/>
          <w:szCs w:val="18"/>
        </w:rPr>
        <w:t>𝜇</w:t>
      </w:r>
      <w:r w:rsidRPr="00235E72">
        <w:rPr>
          <w:rFonts w:ascii="Times New Roman" w:hAnsi="Times New Roman" w:cs="Times New Roman"/>
          <w:sz w:val="18"/>
          <w:szCs w:val="18"/>
        </w:rPr>
        <w:t xml:space="preserve">g/mL and </w:t>
      </w:r>
      <w:proofErr w:type="gramStart"/>
      <w:r w:rsidRPr="00235E72">
        <w:rPr>
          <w:rFonts w:ascii="Times New Roman" w:hAnsi="Times New Roman" w:cs="Times New Roman"/>
          <w:sz w:val="18"/>
          <w:szCs w:val="18"/>
        </w:rPr>
        <w:t xml:space="preserve">0.211 </w:t>
      </w:r>
      <w:r w:rsidRPr="00235E72">
        <w:rPr>
          <w:rFonts w:ascii="Cambria Math" w:eastAsia="Calibri" w:hAnsi="Cambria Math" w:cs="Cambria Math"/>
          <w:sz w:val="18"/>
          <w:szCs w:val="18"/>
        </w:rPr>
        <w:t>𝜇</w:t>
      </w:r>
      <w:r w:rsidRPr="00235E72">
        <w:rPr>
          <w:rFonts w:ascii="Times New Roman" w:hAnsi="Times New Roman" w:cs="Times New Roman"/>
          <w:sz w:val="18"/>
          <w:szCs w:val="18"/>
        </w:rPr>
        <w:t>g/mL</w:t>
      </w:r>
      <w:proofErr w:type="gramEnd"/>
      <w:r w:rsidRPr="00235E72">
        <w:rPr>
          <w:rFonts w:ascii="Times New Roman" w:hAnsi="Times New Roman" w:cs="Times New Roman"/>
          <w:sz w:val="18"/>
          <w:szCs w:val="18"/>
        </w:rPr>
        <w:t xml:space="preserve"> for Metformin and </w:t>
      </w:r>
      <w:proofErr w:type="spellStart"/>
      <w:r w:rsidR="00816940" w:rsidRPr="00235E72">
        <w:rPr>
          <w:rFonts w:ascii="Times New Roman" w:hAnsi="Times New Roman" w:cs="Times New Roman"/>
          <w:sz w:val="18"/>
          <w:szCs w:val="18"/>
        </w:rPr>
        <w:lastRenderedPageBreak/>
        <w:t>Empagliflozin</w:t>
      </w:r>
      <w:proofErr w:type="spellEnd"/>
      <w:r w:rsidRPr="00235E72">
        <w:rPr>
          <w:rFonts w:ascii="Times New Roman" w:hAnsi="Times New Roman" w:cs="Times New Roman"/>
          <w:sz w:val="18"/>
          <w:szCs w:val="18"/>
        </w:rPr>
        <w:t xml:space="preserve"> respectively. The limit of quantification (LOQ)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at </w:t>
      </w:r>
      <w:proofErr w:type="spellStart"/>
      <w:r w:rsidRPr="00235E72">
        <w:rPr>
          <w:rFonts w:ascii="Times New Roman" w:hAnsi="Times New Roman" w:cs="Times New Roman"/>
          <w:sz w:val="18"/>
          <w:szCs w:val="18"/>
        </w:rPr>
        <w:t>iso</w:t>
      </w:r>
      <w:proofErr w:type="spellEnd"/>
      <w:r w:rsidRPr="00235E72">
        <w:rPr>
          <w:rFonts w:ascii="Times New Roman" w:hAnsi="Times New Roman" w:cs="Times New Roman"/>
          <w:sz w:val="18"/>
          <w:szCs w:val="18"/>
        </w:rPr>
        <w:t xml:space="preserve">-absorptive point (250 nm) was 0.321 </w:t>
      </w:r>
      <w:r w:rsidRPr="00235E72">
        <w:rPr>
          <w:rFonts w:ascii="Cambria Math" w:eastAsia="Calibri" w:hAnsi="Cambria Math" w:cs="Cambria Math"/>
          <w:sz w:val="18"/>
          <w:szCs w:val="18"/>
        </w:rPr>
        <w:t>𝜇</w:t>
      </w:r>
      <w:r w:rsidRPr="00235E72">
        <w:rPr>
          <w:rFonts w:ascii="Times New Roman" w:hAnsi="Times New Roman" w:cs="Times New Roman"/>
          <w:sz w:val="18"/>
          <w:szCs w:val="18"/>
        </w:rPr>
        <w:t>g/mL and 0.238</w:t>
      </w:r>
      <w:r w:rsidRPr="00235E72">
        <w:rPr>
          <w:rFonts w:ascii="Cambria Math" w:eastAsia="Calibri" w:hAnsi="Cambria Math" w:cs="Cambria Math"/>
          <w:sz w:val="18"/>
          <w:szCs w:val="18"/>
        </w:rPr>
        <w:t>𝜇</w:t>
      </w:r>
      <w:r w:rsidR="00FC24EA" w:rsidRPr="00235E72">
        <w:rPr>
          <w:rFonts w:ascii="Times New Roman" w:hAnsi="Times New Roman" w:cs="Times New Roman"/>
          <w:sz w:val="18"/>
          <w:szCs w:val="18"/>
        </w:rPr>
        <w:t>g/mL; at 225</w:t>
      </w:r>
      <w:r w:rsidRPr="00235E72">
        <w:rPr>
          <w:rFonts w:ascii="Times New Roman" w:hAnsi="Times New Roman" w:cs="Times New Roman"/>
          <w:sz w:val="18"/>
          <w:szCs w:val="18"/>
        </w:rPr>
        <w:t xml:space="preserve"> nm, LOQ was 0.563</w:t>
      </w:r>
      <w:r w:rsidRPr="00235E72">
        <w:rPr>
          <w:rFonts w:ascii="Cambria Math" w:eastAsia="Calibri" w:hAnsi="Cambria Math" w:cs="Cambria Math"/>
          <w:sz w:val="18"/>
          <w:szCs w:val="18"/>
        </w:rPr>
        <w:t>𝜇</w:t>
      </w:r>
      <w:r w:rsidRPr="00235E72">
        <w:rPr>
          <w:rFonts w:ascii="Times New Roman" w:hAnsi="Times New Roman" w:cs="Times New Roman"/>
          <w:sz w:val="18"/>
          <w:szCs w:val="18"/>
        </w:rPr>
        <w:t>g/mL and 0.639</w:t>
      </w:r>
      <w:r w:rsidRPr="00235E72">
        <w:rPr>
          <w:rFonts w:ascii="Cambria Math" w:eastAsia="Calibri" w:hAnsi="Cambria Math" w:cs="Cambria Math"/>
          <w:sz w:val="18"/>
          <w:szCs w:val="18"/>
        </w:rPr>
        <w:t>𝜇</w:t>
      </w:r>
      <w:r w:rsidRPr="00235E72">
        <w:rPr>
          <w:rFonts w:ascii="Times New Roman" w:hAnsi="Times New Roman" w:cs="Times New Roman"/>
          <w:sz w:val="18"/>
          <w:szCs w:val="18"/>
        </w:rPr>
        <w:t xml:space="preserve">g/mL for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respectively. </w:t>
      </w:r>
    </w:p>
    <w:p w:rsidR="008E7475" w:rsidRPr="00235E72" w:rsidRDefault="008E7475" w:rsidP="008E3709">
      <w:pPr>
        <w:spacing w:after="120" w:line="240" w:lineRule="auto"/>
        <w:jc w:val="both"/>
        <w:rPr>
          <w:rFonts w:ascii="Times New Roman" w:hAnsi="Times New Roman" w:cs="Times New Roman"/>
          <w:sz w:val="18"/>
          <w:szCs w:val="18"/>
        </w:rPr>
      </w:pPr>
      <w:proofErr w:type="spellStart"/>
      <w:r w:rsidRPr="00235E72">
        <w:rPr>
          <w:rFonts w:ascii="Times New Roman" w:hAnsi="Times New Roman" w:cs="Times New Roman"/>
          <w:sz w:val="18"/>
          <w:szCs w:val="18"/>
        </w:rPr>
        <w:lastRenderedPageBreak/>
        <w:t>Sandell’s</w:t>
      </w:r>
      <w:proofErr w:type="spellEnd"/>
      <w:r w:rsidRPr="00235E72">
        <w:rPr>
          <w:rFonts w:ascii="Times New Roman" w:hAnsi="Times New Roman" w:cs="Times New Roman"/>
          <w:sz w:val="18"/>
          <w:szCs w:val="18"/>
        </w:rPr>
        <w:t xml:space="preserve"> sensitivity was 0.0347 and </w:t>
      </w:r>
      <w:proofErr w:type="gramStart"/>
      <w:r w:rsidRPr="00235E72">
        <w:rPr>
          <w:rFonts w:ascii="Times New Roman" w:hAnsi="Times New Roman" w:cs="Times New Roman"/>
          <w:sz w:val="18"/>
          <w:szCs w:val="18"/>
        </w:rPr>
        <w:t xml:space="preserve">0.0348 </w:t>
      </w:r>
      <w:r w:rsidRPr="00235E72">
        <w:rPr>
          <w:rFonts w:ascii="Cambria Math" w:eastAsia="Calibri" w:hAnsi="Cambria Math" w:cs="Cambria Math"/>
          <w:i/>
          <w:sz w:val="18"/>
          <w:szCs w:val="18"/>
        </w:rPr>
        <w:t>𝜇</w:t>
      </w:r>
      <w:r w:rsidRPr="00235E72">
        <w:rPr>
          <w:rFonts w:ascii="Times New Roman" w:hAnsi="Times New Roman" w:cs="Times New Roman"/>
          <w:sz w:val="18"/>
          <w:szCs w:val="18"/>
        </w:rPr>
        <w:t>g/cm</w:t>
      </w:r>
      <w:r w:rsidRPr="00235E72">
        <w:rPr>
          <w:rFonts w:ascii="Times New Roman" w:hAnsi="Times New Roman" w:cs="Times New Roman"/>
          <w:sz w:val="18"/>
          <w:szCs w:val="18"/>
          <w:vertAlign w:val="superscript"/>
        </w:rPr>
        <w:t>2</w:t>
      </w:r>
      <w:r w:rsidRPr="00235E72">
        <w:rPr>
          <w:rFonts w:ascii="Times New Roman" w:hAnsi="Times New Roman" w:cs="Times New Roman"/>
          <w:sz w:val="18"/>
          <w:szCs w:val="18"/>
        </w:rPr>
        <w:t xml:space="preserve"> at 250 nm and 0.022 and 0.035 </w:t>
      </w:r>
      <w:r w:rsidRPr="00235E72">
        <w:rPr>
          <w:rFonts w:ascii="Cambria Math" w:eastAsia="Calibri" w:hAnsi="Cambria Math" w:cs="Cambria Math"/>
          <w:i/>
          <w:sz w:val="18"/>
          <w:szCs w:val="18"/>
        </w:rPr>
        <w:t>𝜇</w:t>
      </w:r>
      <w:r w:rsidRPr="00235E72">
        <w:rPr>
          <w:rFonts w:ascii="Times New Roman" w:hAnsi="Times New Roman" w:cs="Times New Roman"/>
          <w:sz w:val="18"/>
          <w:szCs w:val="18"/>
        </w:rPr>
        <w:t>g/cm</w:t>
      </w:r>
      <w:r w:rsidRPr="00235E72">
        <w:rPr>
          <w:rFonts w:ascii="Times New Roman" w:hAnsi="Times New Roman" w:cs="Times New Roman"/>
          <w:sz w:val="18"/>
          <w:szCs w:val="18"/>
          <w:vertAlign w:val="superscript"/>
        </w:rPr>
        <w:t xml:space="preserve">2 </w:t>
      </w:r>
      <w:r w:rsidRPr="00235E72">
        <w:rPr>
          <w:rFonts w:ascii="Times New Roman" w:hAnsi="Times New Roman" w:cs="Times New Roman"/>
          <w:sz w:val="18"/>
          <w:szCs w:val="18"/>
        </w:rPr>
        <w:t xml:space="preserve">Simultaneous Estimation of Metformin and </w:t>
      </w:r>
      <w:proofErr w:type="spellStart"/>
      <w:r w:rsidR="00816940"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in Bulk and Combined Dosage</w:t>
      </w:r>
      <w:proofErr w:type="gramEnd"/>
      <w:r w:rsidRPr="00235E72">
        <w:rPr>
          <w:rFonts w:ascii="Times New Roman" w:hAnsi="Times New Roman" w:cs="Times New Roman"/>
          <w:sz w:val="18"/>
          <w:szCs w:val="18"/>
        </w:rPr>
        <w:t xml:space="preserve"> </w:t>
      </w:r>
    </w:p>
    <w:p w:rsidR="00235E72" w:rsidRPr="00235E72" w:rsidRDefault="00FC24EA"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Form at 225</w:t>
      </w:r>
      <w:r w:rsidR="008E7475" w:rsidRPr="00235E72">
        <w:rPr>
          <w:rFonts w:ascii="Times New Roman" w:hAnsi="Times New Roman" w:cs="Times New Roman"/>
          <w:sz w:val="18"/>
          <w:szCs w:val="18"/>
        </w:rPr>
        <w:t xml:space="preserve"> nm for Metformin and </w:t>
      </w:r>
      <w:proofErr w:type="spellStart"/>
      <w:r w:rsidR="00816940" w:rsidRPr="00235E72">
        <w:rPr>
          <w:rFonts w:ascii="Times New Roman" w:hAnsi="Times New Roman" w:cs="Times New Roman"/>
          <w:sz w:val="18"/>
          <w:szCs w:val="18"/>
        </w:rPr>
        <w:t>Empagliflozin</w:t>
      </w:r>
      <w:proofErr w:type="spellEnd"/>
      <w:r w:rsidR="008E7475" w:rsidRPr="00235E72">
        <w:rPr>
          <w:rFonts w:ascii="Times New Roman" w:hAnsi="Times New Roman" w:cs="Times New Roman"/>
          <w:sz w:val="18"/>
          <w:szCs w:val="18"/>
        </w:rPr>
        <w:t xml:space="preserve">, respectively. Various validation parameters are summarized in </w:t>
      </w:r>
      <w:r w:rsidR="001C1733" w:rsidRPr="00235E72">
        <w:rPr>
          <w:rFonts w:ascii="Times New Roman" w:hAnsi="Times New Roman" w:cs="Times New Roman"/>
          <w:sz w:val="18"/>
          <w:szCs w:val="18"/>
        </w:rPr>
        <w:t xml:space="preserve">Table </w:t>
      </w:r>
      <w:r w:rsidR="008E7475" w:rsidRPr="00235E72">
        <w:rPr>
          <w:rFonts w:ascii="Times New Roman" w:hAnsi="Times New Roman" w:cs="Times New Roman"/>
          <w:sz w:val="18"/>
          <w:szCs w:val="18"/>
        </w:rPr>
        <w:t>4.</w:t>
      </w:r>
    </w:p>
    <w:p w:rsidR="00235E72" w:rsidRPr="00235E72" w:rsidRDefault="00235E72" w:rsidP="008E3709">
      <w:pPr>
        <w:spacing w:after="120" w:line="240" w:lineRule="auto"/>
        <w:jc w:val="both"/>
        <w:rPr>
          <w:rFonts w:ascii="Times New Roman" w:hAnsi="Times New Roman" w:cs="Times New Roman"/>
          <w:sz w:val="18"/>
          <w:szCs w:val="18"/>
        </w:rPr>
        <w:sectPr w:rsidR="00235E72" w:rsidRPr="00235E72" w:rsidSect="00171BAB">
          <w:type w:val="continuous"/>
          <w:pgSz w:w="11906" w:h="16838" w:code="9"/>
          <w:pgMar w:top="1107" w:right="964" w:bottom="964" w:left="1134" w:header="709" w:footer="709" w:gutter="0"/>
          <w:pgNumType w:start="14"/>
          <w:cols w:num="2" w:space="452"/>
          <w:docGrid w:linePitch="360"/>
        </w:sectPr>
      </w:pPr>
    </w:p>
    <w:p w:rsidR="008E7475" w:rsidRPr="00235E72" w:rsidRDefault="008E7475" w:rsidP="008E3709">
      <w:pPr>
        <w:spacing w:after="120" w:line="240" w:lineRule="auto"/>
        <w:jc w:val="both"/>
        <w:rPr>
          <w:rFonts w:ascii="Times New Roman" w:hAnsi="Times New Roman" w:cs="Times New Roman"/>
          <w:sz w:val="18"/>
          <w:szCs w:val="18"/>
        </w:rPr>
      </w:pPr>
    </w:p>
    <w:p w:rsidR="008E7475" w:rsidRPr="00235E72" w:rsidRDefault="00574A13" w:rsidP="008E3709">
      <w:pPr>
        <w:spacing w:after="120" w:line="240" w:lineRule="auto"/>
        <w:jc w:val="center"/>
        <w:rPr>
          <w:rFonts w:ascii="Times New Roman" w:hAnsi="Times New Roman" w:cs="Times New Roman"/>
          <w:sz w:val="18"/>
          <w:szCs w:val="18"/>
        </w:rPr>
      </w:pPr>
      <w:r w:rsidRPr="00235E72">
        <w:rPr>
          <w:rFonts w:ascii="Times New Roman" w:hAnsi="Times New Roman" w:cs="Times New Roman"/>
          <w:noProof/>
          <w:sz w:val="18"/>
          <w:szCs w:val="18"/>
          <w:lang w:eastAsia="en-IN"/>
        </w:rPr>
        <w:drawing>
          <wp:inline distT="0" distB="0" distL="0" distR="0" wp14:anchorId="7BF808CE" wp14:editId="7576C576">
            <wp:extent cx="5419725" cy="2943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9725" cy="2943225"/>
                    </a:xfrm>
                    <a:prstGeom prst="rect">
                      <a:avLst/>
                    </a:prstGeom>
                    <a:noFill/>
                    <a:ln>
                      <a:noFill/>
                    </a:ln>
                  </pic:spPr>
                </pic:pic>
              </a:graphicData>
            </a:graphic>
          </wp:inline>
        </w:drawing>
      </w:r>
    </w:p>
    <w:p w:rsidR="008E7475" w:rsidRPr="00235E72" w:rsidRDefault="001C1733" w:rsidP="008E3709">
      <w:pPr>
        <w:spacing w:after="120" w:line="240" w:lineRule="auto"/>
        <w:jc w:val="center"/>
        <w:rPr>
          <w:rFonts w:ascii="Times New Roman" w:hAnsi="Times New Roman" w:cs="Times New Roman"/>
          <w:b/>
          <w:sz w:val="18"/>
          <w:szCs w:val="18"/>
        </w:rPr>
      </w:pPr>
      <w:r w:rsidRPr="00235E72">
        <w:rPr>
          <w:rFonts w:ascii="Times New Roman" w:hAnsi="Times New Roman" w:cs="Times New Roman"/>
          <w:b/>
          <w:sz w:val="18"/>
          <w:szCs w:val="18"/>
        </w:rPr>
        <w:t xml:space="preserve">Figure </w:t>
      </w:r>
      <w:r w:rsidR="00B23BE7" w:rsidRPr="00235E72">
        <w:rPr>
          <w:rFonts w:ascii="Times New Roman" w:hAnsi="Times New Roman" w:cs="Times New Roman"/>
          <w:b/>
          <w:sz w:val="18"/>
          <w:szCs w:val="18"/>
        </w:rPr>
        <w:t>1</w:t>
      </w:r>
      <w:r w:rsidR="008A1614" w:rsidRPr="00235E72">
        <w:rPr>
          <w:rFonts w:ascii="Times New Roman" w:hAnsi="Times New Roman" w:cs="Times New Roman"/>
          <w:b/>
          <w:sz w:val="18"/>
          <w:szCs w:val="18"/>
        </w:rPr>
        <w:t xml:space="preserve">: </w:t>
      </w:r>
      <w:r w:rsidR="008A1614" w:rsidRPr="00235E72">
        <w:rPr>
          <w:rFonts w:ascii="Times New Roman" w:hAnsi="Times New Roman" w:cs="Times New Roman"/>
          <w:bCs/>
          <w:sz w:val="18"/>
          <w:szCs w:val="18"/>
        </w:rPr>
        <w:t>UV</w:t>
      </w:r>
      <w:r w:rsidR="008E7475" w:rsidRPr="00235E72">
        <w:rPr>
          <w:rFonts w:ascii="Times New Roman" w:hAnsi="Times New Roman" w:cs="Times New Roman"/>
          <w:bCs/>
          <w:sz w:val="18"/>
          <w:szCs w:val="18"/>
        </w:rPr>
        <w:t xml:space="preserve"> </w:t>
      </w:r>
      <w:r w:rsidR="00130136" w:rsidRPr="00235E72">
        <w:rPr>
          <w:rFonts w:ascii="Times New Roman" w:hAnsi="Times New Roman" w:cs="Times New Roman"/>
          <w:bCs/>
          <w:sz w:val="18"/>
          <w:szCs w:val="18"/>
        </w:rPr>
        <w:t>Scan o</w:t>
      </w:r>
      <w:r w:rsidR="00CC5858" w:rsidRPr="00235E72">
        <w:rPr>
          <w:rFonts w:ascii="Times New Roman" w:hAnsi="Times New Roman" w:cs="Times New Roman"/>
          <w:bCs/>
          <w:sz w:val="18"/>
          <w:szCs w:val="18"/>
        </w:rPr>
        <w:t>f Metformin a</w:t>
      </w:r>
      <w:r w:rsidR="00130136" w:rsidRPr="00235E72">
        <w:rPr>
          <w:rFonts w:ascii="Times New Roman" w:hAnsi="Times New Roman" w:cs="Times New Roman"/>
          <w:bCs/>
          <w:sz w:val="18"/>
          <w:szCs w:val="18"/>
        </w:rPr>
        <w:t xml:space="preserve">nd </w:t>
      </w:r>
      <w:proofErr w:type="spellStart"/>
      <w:r w:rsidR="00816940" w:rsidRPr="00235E72">
        <w:rPr>
          <w:rFonts w:ascii="Times New Roman" w:hAnsi="Times New Roman" w:cs="Times New Roman"/>
          <w:bCs/>
          <w:sz w:val="18"/>
          <w:szCs w:val="18"/>
        </w:rPr>
        <w:t>Empagliflozin</w:t>
      </w:r>
      <w:proofErr w:type="spellEnd"/>
      <w:r w:rsidR="00130136" w:rsidRPr="00235E72">
        <w:rPr>
          <w:rFonts w:ascii="Times New Roman" w:hAnsi="Times New Roman" w:cs="Times New Roman"/>
          <w:bCs/>
          <w:sz w:val="18"/>
          <w:szCs w:val="18"/>
        </w:rPr>
        <w:t xml:space="preserve"> Showing </w:t>
      </w:r>
      <w:proofErr w:type="spellStart"/>
      <w:r w:rsidR="00130136" w:rsidRPr="00235E72">
        <w:rPr>
          <w:rFonts w:ascii="Times New Roman" w:hAnsi="Times New Roman" w:cs="Times New Roman"/>
          <w:bCs/>
          <w:sz w:val="18"/>
          <w:szCs w:val="18"/>
        </w:rPr>
        <w:t>Iso</w:t>
      </w:r>
      <w:proofErr w:type="spellEnd"/>
      <w:r w:rsidR="00130136" w:rsidRPr="00235E72">
        <w:rPr>
          <w:rFonts w:ascii="Times New Roman" w:hAnsi="Times New Roman" w:cs="Times New Roman"/>
          <w:bCs/>
          <w:sz w:val="18"/>
          <w:szCs w:val="18"/>
        </w:rPr>
        <w:t>-Absorptive Points</w:t>
      </w:r>
    </w:p>
    <w:p w:rsidR="008E7475" w:rsidRPr="00235E72" w:rsidRDefault="00427A5E" w:rsidP="008E3709">
      <w:pPr>
        <w:spacing w:after="120" w:line="240" w:lineRule="auto"/>
        <w:jc w:val="center"/>
        <w:rPr>
          <w:rFonts w:ascii="Times New Roman" w:hAnsi="Times New Roman" w:cs="Times New Roman"/>
          <w:b/>
          <w:sz w:val="18"/>
          <w:szCs w:val="18"/>
        </w:rPr>
      </w:pPr>
      <w:r w:rsidRPr="00235E72">
        <w:rPr>
          <w:rFonts w:ascii="Times New Roman" w:hAnsi="Times New Roman" w:cs="Times New Roman"/>
          <w:b/>
          <w:sz w:val="18"/>
          <w:szCs w:val="18"/>
        </w:rPr>
        <w:t xml:space="preserve">Table </w:t>
      </w:r>
      <w:r w:rsidR="00B23BE7" w:rsidRPr="00235E72">
        <w:rPr>
          <w:rFonts w:ascii="Times New Roman" w:hAnsi="Times New Roman" w:cs="Times New Roman"/>
          <w:b/>
          <w:sz w:val="18"/>
          <w:szCs w:val="18"/>
        </w:rPr>
        <w:t>1</w:t>
      </w:r>
      <w:r w:rsidR="008A1614" w:rsidRPr="00235E72">
        <w:rPr>
          <w:rFonts w:ascii="Times New Roman" w:hAnsi="Times New Roman" w:cs="Times New Roman"/>
          <w:b/>
          <w:sz w:val="18"/>
          <w:szCs w:val="18"/>
        </w:rPr>
        <w:t>: Calibration</w:t>
      </w:r>
      <w:r w:rsidR="00CC5858" w:rsidRPr="00235E72">
        <w:rPr>
          <w:rFonts w:ascii="Times New Roman" w:hAnsi="Times New Roman" w:cs="Times New Roman"/>
          <w:b/>
          <w:sz w:val="18"/>
          <w:szCs w:val="18"/>
        </w:rPr>
        <w:t xml:space="preserve"> Points of Standard Curve with Absorbance and Concentration of the Solution</w:t>
      </w:r>
    </w:p>
    <w:tbl>
      <w:tblPr>
        <w:tblStyle w:val="TableGrid"/>
        <w:tblW w:w="9250" w:type="dxa"/>
        <w:jc w:val="center"/>
        <w:tblInd w:w="0" w:type="dxa"/>
        <w:tblCellMar>
          <w:top w:w="70" w:type="dxa"/>
          <w:left w:w="120" w:type="dxa"/>
          <w:right w:w="69" w:type="dxa"/>
        </w:tblCellMar>
        <w:tblLook w:val="04A0" w:firstRow="1" w:lastRow="0" w:firstColumn="1" w:lastColumn="0" w:noHBand="0" w:noVBand="1"/>
      </w:tblPr>
      <w:tblGrid>
        <w:gridCol w:w="2007"/>
        <w:gridCol w:w="1670"/>
        <w:gridCol w:w="1954"/>
        <w:gridCol w:w="1670"/>
        <w:gridCol w:w="1949"/>
      </w:tblGrid>
      <w:tr w:rsidR="00574A13" w:rsidRPr="00235E72" w:rsidTr="008E3709">
        <w:trPr>
          <w:trHeight w:val="57"/>
          <w:jc w:val="center"/>
        </w:trPr>
        <w:tc>
          <w:tcPr>
            <w:tcW w:w="2007" w:type="dxa"/>
            <w:vMerge w:val="restart"/>
            <w:tcBorders>
              <w:top w:val="single" w:sz="4" w:space="0" w:color="000000"/>
              <w:left w:val="single" w:sz="4" w:space="0" w:color="000000"/>
              <w:right w:val="single" w:sz="4" w:space="0" w:color="000000"/>
            </w:tcBorders>
          </w:tcPr>
          <w:p w:rsidR="00574A13" w:rsidRPr="00235E72" w:rsidRDefault="00574A13" w:rsidP="00171BAB">
            <w:pPr>
              <w:rPr>
                <w:rFonts w:ascii="Times New Roman" w:hAnsi="Times New Roman" w:cs="Times New Roman"/>
                <w:sz w:val="18"/>
                <w:szCs w:val="18"/>
              </w:rPr>
            </w:pPr>
            <w:r w:rsidRPr="00235E72">
              <w:rPr>
                <w:rFonts w:ascii="Times New Roman" w:hAnsi="Times New Roman" w:cs="Times New Roman"/>
                <w:b/>
                <w:sz w:val="18"/>
                <w:szCs w:val="18"/>
              </w:rPr>
              <w:t>Concentration of the solution (</w:t>
            </w:r>
            <w:r w:rsidRPr="00235E72">
              <w:rPr>
                <w:rFonts w:ascii="Times New Roman" w:eastAsia="Cambria Math" w:hAnsi="Times New Roman" w:cs="Times New Roman"/>
                <w:b/>
                <w:sz w:val="18"/>
                <w:szCs w:val="18"/>
              </w:rPr>
              <w:t>µ</w:t>
            </w:r>
            <w:r w:rsidRPr="00235E72">
              <w:rPr>
                <w:rFonts w:ascii="Times New Roman" w:hAnsi="Times New Roman" w:cs="Times New Roman"/>
                <w:b/>
                <w:sz w:val="18"/>
                <w:szCs w:val="18"/>
              </w:rPr>
              <w:t xml:space="preserve">g/mL) </w:t>
            </w:r>
          </w:p>
        </w:tc>
        <w:tc>
          <w:tcPr>
            <w:tcW w:w="3624" w:type="dxa"/>
            <w:gridSpan w:val="2"/>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Absorbance at 225 nm </w:t>
            </w:r>
          </w:p>
        </w:tc>
        <w:tc>
          <w:tcPr>
            <w:tcW w:w="3619" w:type="dxa"/>
            <w:gridSpan w:val="2"/>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Absorbance at 250 nm </w:t>
            </w:r>
          </w:p>
        </w:tc>
      </w:tr>
      <w:tr w:rsidR="00574A13" w:rsidRPr="00235E72" w:rsidTr="008E3709">
        <w:tblPrEx>
          <w:tblCellMar>
            <w:left w:w="115" w:type="dxa"/>
            <w:right w:w="115" w:type="dxa"/>
          </w:tblCellMar>
        </w:tblPrEx>
        <w:trPr>
          <w:trHeight w:val="57"/>
          <w:jc w:val="center"/>
        </w:trPr>
        <w:tc>
          <w:tcPr>
            <w:tcW w:w="2007" w:type="dxa"/>
            <w:vMerge/>
            <w:tcBorders>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p>
        </w:tc>
        <w:tc>
          <w:tcPr>
            <w:tcW w:w="1670" w:type="dxa"/>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Metformin </w:t>
            </w:r>
          </w:p>
        </w:tc>
        <w:tc>
          <w:tcPr>
            <w:tcW w:w="1954" w:type="dxa"/>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proofErr w:type="spellStart"/>
            <w:r w:rsidRPr="00235E72">
              <w:rPr>
                <w:rFonts w:ascii="Times New Roman" w:hAnsi="Times New Roman" w:cs="Times New Roman"/>
                <w:b/>
                <w:sz w:val="18"/>
                <w:szCs w:val="18"/>
              </w:rPr>
              <w:t>Empagliflozin</w:t>
            </w:r>
            <w:proofErr w:type="spellEnd"/>
          </w:p>
        </w:tc>
        <w:tc>
          <w:tcPr>
            <w:tcW w:w="1670" w:type="dxa"/>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Metformin </w:t>
            </w:r>
          </w:p>
        </w:tc>
        <w:tc>
          <w:tcPr>
            <w:tcW w:w="1949" w:type="dxa"/>
            <w:tcBorders>
              <w:top w:val="single" w:sz="4" w:space="0" w:color="000000"/>
              <w:left w:val="single" w:sz="4" w:space="0" w:color="000000"/>
              <w:bottom w:val="single" w:sz="4" w:space="0" w:color="000000"/>
              <w:right w:val="single" w:sz="4" w:space="0" w:color="000000"/>
            </w:tcBorders>
          </w:tcPr>
          <w:p w:rsidR="00574A13" w:rsidRPr="00235E72" w:rsidRDefault="00574A13" w:rsidP="00171BAB">
            <w:pPr>
              <w:jc w:val="center"/>
              <w:rPr>
                <w:rFonts w:ascii="Times New Roman" w:hAnsi="Times New Roman" w:cs="Times New Roman"/>
                <w:sz w:val="18"/>
                <w:szCs w:val="18"/>
              </w:rPr>
            </w:pPr>
            <w:proofErr w:type="spellStart"/>
            <w:r w:rsidRPr="00235E72">
              <w:rPr>
                <w:rFonts w:ascii="Times New Roman" w:hAnsi="Times New Roman" w:cs="Times New Roman"/>
                <w:b/>
                <w:sz w:val="18"/>
                <w:szCs w:val="18"/>
              </w:rPr>
              <w:t>Empagliflozin</w:t>
            </w:r>
            <w:proofErr w:type="spellEnd"/>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0.421</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0.288</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0.095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0.19 </w:t>
            </w:r>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7.5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0.6315</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0.432</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0.242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0.278 </w:t>
            </w:r>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10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0.842</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0.576</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0.422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0.358 </w:t>
            </w:r>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12.5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1.0525</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0.72</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0.655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0.525 </w:t>
            </w:r>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15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1.263</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0.864</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0.882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0.655 </w:t>
            </w:r>
          </w:p>
        </w:tc>
      </w:tr>
      <w:tr w:rsidR="0022134E" w:rsidRPr="00235E72" w:rsidTr="008E3709">
        <w:tblPrEx>
          <w:tblCellMar>
            <w:left w:w="115" w:type="dxa"/>
            <w:right w:w="115" w:type="dxa"/>
          </w:tblCellMar>
        </w:tblPrEx>
        <w:trPr>
          <w:trHeight w:val="57"/>
          <w:jc w:val="center"/>
        </w:trPr>
        <w:tc>
          <w:tcPr>
            <w:tcW w:w="2007"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17.5 </w:t>
            </w:r>
          </w:p>
        </w:tc>
        <w:tc>
          <w:tcPr>
            <w:tcW w:w="1670"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5544B2" w:rsidP="00171BAB">
            <w:pPr>
              <w:jc w:val="center"/>
              <w:rPr>
                <w:rFonts w:ascii="Times New Roman" w:hAnsi="Times New Roman" w:cs="Times New Roman"/>
                <w:sz w:val="18"/>
                <w:szCs w:val="18"/>
              </w:rPr>
            </w:pPr>
            <w:r w:rsidRPr="00235E72">
              <w:rPr>
                <w:rFonts w:ascii="Times New Roman" w:hAnsi="Times New Roman" w:cs="Times New Roman"/>
                <w:sz w:val="18"/>
                <w:szCs w:val="18"/>
              </w:rPr>
              <w:t>1.431</w:t>
            </w:r>
          </w:p>
        </w:tc>
        <w:tc>
          <w:tcPr>
            <w:tcW w:w="1954" w:type="dxa"/>
            <w:tcBorders>
              <w:top w:val="single" w:sz="4" w:space="0" w:color="000000"/>
              <w:left w:val="single" w:sz="4" w:space="0" w:color="000000"/>
              <w:bottom w:val="single" w:sz="4" w:space="0" w:color="000000"/>
              <w:right w:val="single" w:sz="4" w:space="0" w:color="000000"/>
            </w:tcBorders>
            <w:vAlign w:val="center"/>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1.008</w:t>
            </w:r>
          </w:p>
        </w:tc>
        <w:tc>
          <w:tcPr>
            <w:tcW w:w="1670"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1.185 </w:t>
            </w:r>
          </w:p>
        </w:tc>
        <w:tc>
          <w:tcPr>
            <w:tcW w:w="1949" w:type="dxa"/>
            <w:tcBorders>
              <w:top w:val="single" w:sz="4" w:space="0" w:color="000000"/>
              <w:left w:val="single" w:sz="4" w:space="0" w:color="000000"/>
              <w:bottom w:val="single" w:sz="4" w:space="0" w:color="000000"/>
              <w:right w:val="single" w:sz="4" w:space="0" w:color="000000"/>
            </w:tcBorders>
          </w:tcPr>
          <w:p w:rsidR="0022134E" w:rsidRPr="00235E72" w:rsidRDefault="0022134E"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0.789 </w:t>
            </w:r>
          </w:p>
        </w:tc>
      </w:tr>
    </w:tbl>
    <w:p w:rsidR="008E7475" w:rsidRPr="00235E72" w:rsidRDefault="008E7475" w:rsidP="008E3709">
      <w:pPr>
        <w:spacing w:after="120" w:line="240" w:lineRule="auto"/>
        <w:rPr>
          <w:rFonts w:ascii="Times New Roman" w:hAnsi="Times New Roman" w:cs="Times New Roman"/>
          <w:b/>
          <w:sz w:val="18"/>
          <w:szCs w:val="18"/>
        </w:rPr>
      </w:pPr>
    </w:p>
    <w:p w:rsidR="00171BAB" w:rsidRDefault="00171BAB" w:rsidP="008E3709">
      <w:pPr>
        <w:spacing w:after="120" w:line="240" w:lineRule="auto"/>
        <w:jc w:val="center"/>
        <w:rPr>
          <w:rFonts w:ascii="Times New Roman" w:hAnsi="Times New Roman" w:cs="Times New Roman"/>
          <w:sz w:val="18"/>
          <w:szCs w:val="18"/>
        </w:rPr>
      </w:pPr>
    </w:p>
    <w:p w:rsidR="0065752E" w:rsidRDefault="0065752E" w:rsidP="008E3709">
      <w:pPr>
        <w:spacing w:after="120" w:line="240" w:lineRule="auto"/>
        <w:jc w:val="center"/>
        <w:rPr>
          <w:rFonts w:ascii="Times New Roman" w:hAnsi="Times New Roman" w:cs="Times New Roman"/>
          <w:sz w:val="18"/>
          <w:szCs w:val="18"/>
        </w:rPr>
        <w:sectPr w:rsidR="0065752E" w:rsidSect="00235E72">
          <w:type w:val="continuous"/>
          <w:pgSz w:w="11906" w:h="16838" w:code="9"/>
          <w:pgMar w:top="1107" w:right="964" w:bottom="964" w:left="1134" w:header="709" w:footer="709" w:gutter="0"/>
          <w:pgNumType w:start="57"/>
          <w:cols w:space="708"/>
          <w:docGrid w:linePitch="360"/>
        </w:sectPr>
      </w:pPr>
    </w:p>
    <w:p w:rsidR="005544B2" w:rsidRPr="00235E72" w:rsidRDefault="001C1733" w:rsidP="008E3709">
      <w:pPr>
        <w:spacing w:after="120" w:line="240" w:lineRule="auto"/>
        <w:jc w:val="center"/>
        <w:rPr>
          <w:rFonts w:ascii="Times New Roman" w:hAnsi="Times New Roman" w:cs="Times New Roman"/>
          <w:sz w:val="18"/>
          <w:szCs w:val="18"/>
        </w:rPr>
      </w:pPr>
      <w:r w:rsidRPr="00235E72">
        <w:rPr>
          <w:rFonts w:ascii="Times New Roman" w:hAnsi="Times New Roman" w:cs="Times New Roman"/>
          <w:b/>
          <w:noProof/>
          <w:sz w:val="18"/>
          <w:szCs w:val="18"/>
          <w:lang w:eastAsia="en-IN"/>
        </w:rPr>
        <w:lastRenderedPageBreak/>
        <w:drawing>
          <wp:inline distT="0" distB="0" distL="0" distR="0" wp14:anchorId="0F1AB716" wp14:editId="0EEE7FA4">
            <wp:extent cx="3105150" cy="2114284"/>
            <wp:effectExtent l="0" t="0" r="0" b="0"/>
            <wp:docPr id="3" name="Picture 12" descr="C:\Users\manash\Documents\f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nash\Documents\fig.jpg"/>
                    <pic:cNvPicPr>
                      <a:picLocks noChangeAspect="1" noChangeArrowheads="1"/>
                    </pic:cNvPicPr>
                  </pic:nvPicPr>
                  <pic:blipFill rotWithShape="1">
                    <a:blip r:embed="rId23"/>
                    <a:srcRect l="18506" t="20482" r="21706" b="35904"/>
                    <a:stretch/>
                  </pic:blipFill>
                  <pic:spPr bwMode="auto">
                    <a:xfrm>
                      <a:off x="0" y="0"/>
                      <a:ext cx="3106330" cy="2115087"/>
                    </a:xfrm>
                    <a:prstGeom prst="rect">
                      <a:avLst/>
                    </a:prstGeom>
                    <a:noFill/>
                    <a:ln>
                      <a:noFill/>
                    </a:ln>
                    <a:extLst>
                      <a:ext uri="{53640926-AAD7-44D8-BBD7-CCE9431645EC}">
                        <a14:shadowObscured xmlns:a14="http://schemas.microsoft.com/office/drawing/2010/main"/>
                      </a:ext>
                    </a:extLst>
                  </pic:spPr>
                </pic:pic>
              </a:graphicData>
            </a:graphic>
          </wp:inline>
        </w:drawing>
      </w:r>
    </w:p>
    <w:p w:rsidR="005544B2" w:rsidRPr="00235E72" w:rsidRDefault="00427A5E" w:rsidP="008E3709">
      <w:pPr>
        <w:spacing w:after="120" w:line="240" w:lineRule="auto"/>
        <w:jc w:val="center"/>
        <w:rPr>
          <w:rFonts w:ascii="Times New Roman" w:hAnsi="Times New Roman" w:cs="Times New Roman"/>
          <w:b/>
          <w:sz w:val="18"/>
          <w:szCs w:val="18"/>
        </w:rPr>
      </w:pPr>
      <w:r w:rsidRPr="00235E72">
        <w:rPr>
          <w:rFonts w:ascii="Times New Roman" w:hAnsi="Times New Roman" w:cs="Times New Roman"/>
          <w:b/>
          <w:sz w:val="18"/>
          <w:szCs w:val="18"/>
        </w:rPr>
        <w:t xml:space="preserve">Figure 2: </w:t>
      </w:r>
      <w:r w:rsidR="005544B2" w:rsidRPr="00235E72">
        <w:rPr>
          <w:rFonts w:ascii="Times New Roman" w:hAnsi="Times New Roman" w:cs="Times New Roman"/>
          <w:b/>
          <w:sz w:val="18"/>
          <w:szCs w:val="18"/>
        </w:rPr>
        <w:t xml:space="preserve">Calibration </w:t>
      </w:r>
      <w:r w:rsidR="001C1733" w:rsidRPr="00235E72">
        <w:rPr>
          <w:rFonts w:ascii="Times New Roman" w:hAnsi="Times New Roman" w:cs="Times New Roman"/>
          <w:b/>
          <w:sz w:val="18"/>
          <w:szCs w:val="18"/>
        </w:rPr>
        <w:t>Curves</w:t>
      </w:r>
      <w:r w:rsidR="005544B2" w:rsidRPr="00235E72">
        <w:rPr>
          <w:rFonts w:ascii="Times New Roman" w:hAnsi="Times New Roman" w:cs="Times New Roman"/>
          <w:b/>
          <w:sz w:val="18"/>
          <w:szCs w:val="18"/>
        </w:rPr>
        <w:t xml:space="preserve"> of Metformin and </w:t>
      </w:r>
      <w:proofErr w:type="spellStart"/>
      <w:r w:rsidR="005544B2" w:rsidRPr="00235E72">
        <w:rPr>
          <w:rFonts w:ascii="Times New Roman" w:hAnsi="Times New Roman" w:cs="Times New Roman"/>
          <w:b/>
          <w:sz w:val="18"/>
          <w:szCs w:val="18"/>
        </w:rPr>
        <w:t>Empagliflozin</w:t>
      </w:r>
      <w:proofErr w:type="spellEnd"/>
      <w:r w:rsidR="005544B2" w:rsidRPr="00235E72">
        <w:rPr>
          <w:rFonts w:ascii="Times New Roman" w:hAnsi="Times New Roman" w:cs="Times New Roman"/>
          <w:b/>
          <w:sz w:val="18"/>
          <w:szCs w:val="18"/>
        </w:rPr>
        <w:t xml:space="preserve"> at 250 nm</w:t>
      </w:r>
    </w:p>
    <w:p w:rsidR="005544B2" w:rsidRPr="00235E72" w:rsidRDefault="005544B2" w:rsidP="008E3709">
      <w:pPr>
        <w:spacing w:after="120" w:line="240" w:lineRule="auto"/>
        <w:jc w:val="center"/>
        <w:rPr>
          <w:rFonts w:ascii="Times New Roman" w:hAnsi="Times New Roman" w:cs="Times New Roman"/>
          <w:sz w:val="18"/>
          <w:szCs w:val="18"/>
        </w:rPr>
      </w:pPr>
      <w:r w:rsidRPr="00235E72">
        <w:rPr>
          <w:rFonts w:ascii="Times New Roman" w:hAnsi="Times New Roman" w:cs="Times New Roman"/>
          <w:noProof/>
          <w:sz w:val="18"/>
          <w:szCs w:val="18"/>
          <w:lang w:eastAsia="en-IN"/>
        </w:rPr>
        <w:lastRenderedPageBreak/>
        <w:drawing>
          <wp:inline distT="0" distB="0" distL="0" distR="0" wp14:anchorId="6EA37657" wp14:editId="0FFFD78D">
            <wp:extent cx="3016250" cy="2076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71BAB" w:rsidRDefault="00427A5E" w:rsidP="008E3709">
      <w:pPr>
        <w:spacing w:after="120" w:line="240" w:lineRule="auto"/>
        <w:jc w:val="center"/>
        <w:rPr>
          <w:rFonts w:ascii="Times New Roman" w:hAnsi="Times New Roman" w:cs="Times New Roman"/>
          <w:b/>
          <w:sz w:val="18"/>
          <w:szCs w:val="18"/>
        </w:rPr>
        <w:sectPr w:rsidR="00171BAB" w:rsidSect="00171BAB">
          <w:type w:val="continuous"/>
          <w:pgSz w:w="11906" w:h="16838" w:code="9"/>
          <w:pgMar w:top="1107" w:right="964" w:bottom="964" w:left="1134" w:header="709" w:footer="709" w:gutter="0"/>
          <w:pgNumType w:start="57"/>
          <w:cols w:num="2" w:space="452"/>
          <w:docGrid w:linePitch="360"/>
        </w:sectPr>
      </w:pPr>
      <w:r w:rsidRPr="00235E72">
        <w:rPr>
          <w:rFonts w:ascii="Times New Roman" w:hAnsi="Times New Roman" w:cs="Times New Roman"/>
          <w:b/>
          <w:sz w:val="18"/>
          <w:szCs w:val="18"/>
        </w:rPr>
        <w:t xml:space="preserve">Figure 3: </w:t>
      </w:r>
      <w:r w:rsidR="005544B2" w:rsidRPr="00235E72">
        <w:rPr>
          <w:rFonts w:ascii="Times New Roman" w:hAnsi="Times New Roman" w:cs="Times New Roman"/>
          <w:b/>
          <w:sz w:val="18"/>
          <w:szCs w:val="18"/>
        </w:rPr>
        <w:t xml:space="preserve">Calibration </w:t>
      </w:r>
      <w:r w:rsidR="008A1614" w:rsidRPr="00235E72">
        <w:rPr>
          <w:rFonts w:ascii="Times New Roman" w:hAnsi="Times New Roman" w:cs="Times New Roman"/>
          <w:b/>
          <w:sz w:val="18"/>
          <w:szCs w:val="18"/>
        </w:rPr>
        <w:t>Curves</w:t>
      </w:r>
      <w:r w:rsidR="005544B2" w:rsidRPr="00235E72">
        <w:rPr>
          <w:rFonts w:ascii="Times New Roman" w:hAnsi="Times New Roman" w:cs="Times New Roman"/>
          <w:b/>
          <w:sz w:val="18"/>
          <w:szCs w:val="18"/>
        </w:rPr>
        <w:t xml:space="preserve"> of Metformin and </w:t>
      </w:r>
      <w:bookmarkStart w:id="0" w:name="_GoBack"/>
      <w:bookmarkEnd w:id="0"/>
      <w:proofErr w:type="spellStart"/>
      <w:r w:rsidR="005544B2" w:rsidRPr="00235E72">
        <w:rPr>
          <w:rFonts w:ascii="Times New Roman" w:hAnsi="Times New Roman" w:cs="Times New Roman"/>
          <w:b/>
          <w:sz w:val="18"/>
          <w:szCs w:val="18"/>
        </w:rPr>
        <w:t>Empagliflozin</w:t>
      </w:r>
      <w:proofErr w:type="spellEnd"/>
      <w:r w:rsidR="005544B2" w:rsidRPr="00235E72">
        <w:rPr>
          <w:rFonts w:ascii="Times New Roman" w:hAnsi="Times New Roman" w:cs="Times New Roman"/>
          <w:b/>
          <w:sz w:val="18"/>
          <w:szCs w:val="18"/>
        </w:rPr>
        <w:t xml:space="preserve"> at 225 nm</w:t>
      </w:r>
    </w:p>
    <w:p w:rsidR="005544B2" w:rsidRPr="00235E72" w:rsidRDefault="005544B2" w:rsidP="008E3709">
      <w:pPr>
        <w:spacing w:after="120" w:line="240" w:lineRule="auto"/>
        <w:jc w:val="center"/>
        <w:rPr>
          <w:rFonts w:ascii="Times New Roman" w:hAnsi="Times New Roman" w:cs="Times New Roman"/>
          <w:sz w:val="18"/>
          <w:szCs w:val="18"/>
        </w:rPr>
      </w:pPr>
    </w:p>
    <w:p w:rsidR="00171BAB" w:rsidRDefault="00171BAB" w:rsidP="008E3709">
      <w:pPr>
        <w:spacing w:after="120" w:line="240" w:lineRule="auto"/>
        <w:jc w:val="center"/>
        <w:rPr>
          <w:rFonts w:ascii="Times New Roman" w:hAnsi="Times New Roman" w:cs="Times New Roman"/>
          <w:b/>
          <w:sz w:val="18"/>
          <w:szCs w:val="18"/>
        </w:rPr>
      </w:pPr>
    </w:p>
    <w:p w:rsidR="00171BAB" w:rsidRDefault="00171BAB" w:rsidP="008E3709">
      <w:pPr>
        <w:spacing w:after="120" w:line="240" w:lineRule="auto"/>
        <w:jc w:val="center"/>
        <w:rPr>
          <w:rFonts w:ascii="Times New Roman" w:hAnsi="Times New Roman" w:cs="Times New Roman"/>
          <w:b/>
          <w:sz w:val="18"/>
          <w:szCs w:val="18"/>
        </w:rPr>
      </w:pPr>
    </w:p>
    <w:p w:rsidR="008E7475" w:rsidRPr="00235E72" w:rsidRDefault="00427A5E" w:rsidP="008E3709">
      <w:pPr>
        <w:spacing w:after="120" w:line="240" w:lineRule="auto"/>
        <w:jc w:val="center"/>
        <w:rPr>
          <w:rFonts w:ascii="Times New Roman" w:hAnsi="Times New Roman" w:cs="Times New Roman"/>
          <w:sz w:val="18"/>
          <w:szCs w:val="18"/>
        </w:rPr>
      </w:pPr>
      <w:r w:rsidRPr="00235E72">
        <w:rPr>
          <w:rFonts w:ascii="Times New Roman" w:hAnsi="Times New Roman" w:cs="Times New Roman"/>
          <w:b/>
          <w:sz w:val="18"/>
          <w:szCs w:val="18"/>
        </w:rPr>
        <w:lastRenderedPageBreak/>
        <w:t xml:space="preserve">Table </w:t>
      </w:r>
      <w:r w:rsidR="008E7475" w:rsidRPr="00235E72">
        <w:rPr>
          <w:rFonts w:ascii="Times New Roman" w:hAnsi="Times New Roman" w:cs="Times New Roman"/>
          <w:b/>
          <w:sz w:val="18"/>
          <w:szCs w:val="18"/>
        </w:rPr>
        <w:t>2</w:t>
      </w:r>
      <w:r w:rsidRPr="00235E72">
        <w:rPr>
          <w:rFonts w:ascii="Times New Roman" w:hAnsi="Times New Roman" w:cs="Times New Roman"/>
          <w:b/>
          <w:sz w:val="18"/>
          <w:szCs w:val="18"/>
        </w:rPr>
        <w:t>:</w:t>
      </w:r>
      <w:r w:rsidR="008E7475" w:rsidRPr="00235E72">
        <w:rPr>
          <w:rFonts w:ascii="Times New Roman" w:hAnsi="Times New Roman" w:cs="Times New Roman"/>
          <w:b/>
          <w:sz w:val="18"/>
          <w:szCs w:val="18"/>
        </w:rPr>
        <w:t xml:space="preserve"> </w:t>
      </w:r>
      <w:r w:rsidR="004D72BB" w:rsidRPr="00235E72">
        <w:rPr>
          <w:rFonts w:ascii="Times New Roman" w:hAnsi="Times New Roman" w:cs="Times New Roman"/>
          <w:b/>
          <w:sz w:val="18"/>
          <w:szCs w:val="18"/>
        </w:rPr>
        <w:t xml:space="preserve">Result of </w:t>
      </w:r>
      <w:r w:rsidR="008E7475" w:rsidRPr="00235E72">
        <w:rPr>
          <w:rFonts w:ascii="Times New Roman" w:hAnsi="Times New Roman" w:cs="Times New Roman"/>
          <w:b/>
          <w:sz w:val="18"/>
          <w:szCs w:val="18"/>
        </w:rPr>
        <w:t>Precision</w:t>
      </w:r>
    </w:p>
    <w:tbl>
      <w:tblPr>
        <w:tblStyle w:val="TableGrid"/>
        <w:tblW w:w="5000" w:type="pct"/>
        <w:jc w:val="center"/>
        <w:tblInd w:w="0" w:type="dxa"/>
        <w:tblCellMar>
          <w:top w:w="70" w:type="dxa"/>
        </w:tblCellMar>
        <w:tblLook w:val="04A0" w:firstRow="1" w:lastRow="0" w:firstColumn="1" w:lastColumn="0" w:noHBand="0" w:noVBand="1"/>
      </w:tblPr>
      <w:tblGrid>
        <w:gridCol w:w="1424"/>
        <w:gridCol w:w="1194"/>
        <w:gridCol w:w="1013"/>
        <w:gridCol w:w="770"/>
        <w:gridCol w:w="903"/>
        <w:gridCol w:w="815"/>
        <w:gridCol w:w="1013"/>
        <w:gridCol w:w="732"/>
        <w:gridCol w:w="1159"/>
        <w:gridCol w:w="795"/>
      </w:tblGrid>
      <w:tr w:rsidR="00B23BE7" w:rsidRPr="00235E72" w:rsidTr="008E3709">
        <w:trPr>
          <w:trHeight w:hRule="exact" w:val="284"/>
          <w:jc w:val="center"/>
        </w:trPr>
        <w:tc>
          <w:tcPr>
            <w:tcW w:w="1332" w:type="pct"/>
            <w:gridSpan w:val="2"/>
            <w:vMerge w:val="restart"/>
            <w:tcBorders>
              <w:top w:val="single" w:sz="4" w:space="0" w:color="000000"/>
              <w:left w:val="single" w:sz="4" w:space="0" w:color="000000"/>
              <w:right w:val="single" w:sz="4" w:space="0" w:color="000000"/>
            </w:tcBorders>
            <w:vAlign w:val="center"/>
          </w:tcPr>
          <w:p w:rsidR="00B23BE7"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Precision </w:t>
            </w:r>
          </w:p>
          <w:p w:rsidR="00B23BE7" w:rsidRPr="00235E72" w:rsidRDefault="00B23BE7" w:rsidP="00171BAB">
            <w:pPr>
              <w:spacing w:after="120" w:line="276" w:lineRule="auto"/>
              <w:jc w:val="center"/>
              <w:rPr>
                <w:rFonts w:ascii="Times New Roman" w:hAnsi="Times New Roman" w:cs="Times New Roman"/>
                <w:sz w:val="18"/>
                <w:szCs w:val="18"/>
              </w:rPr>
            </w:pPr>
          </w:p>
        </w:tc>
        <w:tc>
          <w:tcPr>
            <w:tcW w:w="1783" w:type="pct"/>
            <w:gridSpan w:val="4"/>
            <w:tcBorders>
              <w:top w:val="single" w:sz="4" w:space="0" w:color="000000"/>
              <w:left w:val="single" w:sz="4" w:space="0" w:color="000000"/>
              <w:bottom w:val="single" w:sz="4" w:space="0" w:color="000000"/>
              <w:right w:val="single" w:sz="4" w:space="0" w:color="000000"/>
            </w:tcBorders>
          </w:tcPr>
          <w:p w:rsidR="00B23BE7" w:rsidRPr="00235E72" w:rsidRDefault="00B23BE7" w:rsidP="00171BAB">
            <w:pPr>
              <w:tabs>
                <w:tab w:val="left" w:pos="735"/>
              </w:tabs>
              <w:spacing w:after="120" w:line="276" w:lineRule="auto"/>
              <w:rPr>
                <w:rFonts w:ascii="Times New Roman" w:hAnsi="Times New Roman" w:cs="Times New Roman"/>
                <w:sz w:val="18"/>
                <w:szCs w:val="18"/>
              </w:rPr>
            </w:pPr>
            <w:r w:rsidRPr="00235E72">
              <w:rPr>
                <w:rFonts w:ascii="Times New Roman" w:hAnsi="Times New Roman" w:cs="Times New Roman"/>
                <w:sz w:val="18"/>
                <w:szCs w:val="18"/>
              </w:rPr>
              <w:tab/>
            </w:r>
            <w:r w:rsidRPr="00235E72">
              <w:rPr>
                <w:rFonts w:ascii="Times New Roman" w:hAnsi="Times New Roman" w:cs="Times New Roman"/>
                <w:b/>
                <w:sz w:val="18"/>
                <w:szCs w:val="18"/>
              </w:rPr>
              <w:t>At 225 nm</w:t>
            </w:r>
          </w:p>
          <w:p w:rsidR="00B23BE7" w:rsidRPr="00235E72" w:rsidRDefault="00B23BE7" w:rsidP="00171BAB">
            <w:pPr>
              <w:spacing w:after="120" w:line="276" w:lineRule="auto"/>
              <w:rPr>
                <w:rFonts w:ascii="Times New Roman" w:hAnsi="Times New Roman" w:cs="Times New Roman"/>
                <w:sz w:val="18"/>
                <w:szCs w:val="18"/>
              </w:rPr>
            </w:pPr>
            <w:r w:rsidRPr="00235E72">
              <w:rPr>
                <w:rFonts w:ascii="Times New Roman" w:hAnsi="Times New Roman" w:cs="Times New Roman"/>
                <w:b/>
                <w:sz w:val="18"/>
                <w:szCs w:val="18"/>
              </w:rPr>
              <w:t xml:space="preserve">At 225 nm </w:t>
            </w:r>
          </w:p>
        </w:tc>
        <w:tc>
          <w:tcPr>
            <w:tcW w:w="1885" w:type="pct"/>
            <w:gridSpan w:val="4"/>
            <w:tcBorders>
              <w:top w:val="single" w:sz="4" w:space="0" w:color="000000"/>
              <w:left w:val="single" w:sz="4" w:space="0" w:color="000000"/>
              <w:bottom w:val="single" w:sz="4" w:space="0" w:color="000000"/>
              <w:right w:val="single" w:sz="4" w:space="0" w:color="000000"/>
            </w:tcBorders>
          </w:tcPr>
          <w:p w:rsidR="00B23BE7"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At 250 nm</w:t>
            </w:r>
          </w:p>
        </w:tc>
      </w:tr>
      <w:tr w:rsidR="00A014D5" w:rsidRPr="00235E72" w:rsidTr="008E3709">
        <w:trPr>
          <w:trHeight w:hRule="exact" w:val="284"/>
          <w:jc w:val="center"/>
        </w:trPr>
        <w:tc>
          <w:tcPr>
            <w:tcW w:w="1332" w:type="pct"/>
            <w:gridSpan w:val="2"/>
            <w:vMerge/>
            <w:tcBorders>
              <w:left w:val="single" w:sz="4" w:space="0" w:color="000000"/>
              <w:bottom w:val="single" w:sz="4" w:space="0" w:color="000000"/>
              <w:right w:val="single" w:sz="4" w:space="0" w:color="000000"/>
            </w:tcBorders>
          </w:tcPr>
          <w:p w:rsidR="00A014D5" w:rsidRPr="00235E72" w:rsidRDefault="00A014D5" w:rsidP="00171BAB">
            <w:pPr>
              <w:spacing w:after="120" w:line="276" w:lineRule="auto"/>
              <w:rPr>
                <w:rFonts w:ascii="Times New Roman" w:hAnsi="Times New Roman" w:cs="Times New Roman"/>
                <w:sz w:val="18"/>
                <w:szCs w:val="18"/>
              </w:rPr>
            </w:pPr>
          </w:p>
        </w:tc>
        <w:tc>
          <w:tcPr>
            <w:tcW w:w="1783" w:type="pct"/>
            <w:gridSpan w:val="4"/>
            <w:tcBorders>
              <w:top w:val="single" w:sz="4" w:space="0" w:color="000000"/>
              <w:left w:val="single" w:sz="4" w:space="0" w:color="000000"/>
              <w:bottom w:val="single" w:sz="4" w:space="0" w:color="000000"/>
              <w:right w:val="single" w:sz="4" w:space="0" w:color="000000"/>
            </w:tcBorders>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%Estimation  of</w:t>
            </w:r>
          </w:p>
          <w:p w:rsidR="00A014D5" w:rsidRPr="00235E72" w:rsidRDefault="00A014D5" w:rsidP="00171BAB">
            <w:pPr>
              <w:spacing w:after="120" w:line="276" w:lineRule="auto"/>
              <w:jc w:val="center"/>
              <w:rPr>
                <w:rFonts w:ascii="Times New Roman" w:hAnsi="Times New Roman" w:cs="Times New Roman"/>
                <w:sz w:val="18"/>
                <w:szCs w:val="18"/>
              </w:rPr>
            </w:pPr>
          </w:p>
        </w:tc>
        <w:tc>
          <w:tcPr>
            <w:tcW w:w="1885" w:type="pct"/>
            <w:gridSpan w:val="4"/>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%Estimation  of</w:t>
            </w:r>
          </w:p>
          <w:p w:rsidR="00A014D5" w:rsidRPr="00235E72" w:rsidRDefault="00A014D5" w:rsidP="00171BAB">
            <w:pPr>
              <w:spacing w:after="120" w:line="276" w:lineRule="auto"/>
              <w:jc w:val="center"/>
              <w:rPr>
                <w:rFonts w:ascii="Times New Roman" w:hAnsi="Times New Roman" w:cs="Times New Roman"/>
                <w:sz w:val="18"/>
                <w:szCs w:val="18"/>
              </w:rPr>
            </w:pPr>
          </w:p>
        </w:tc>
      </w:tr>
      <w:tr w:rsidR="00D92E3B" w:rsidRPr="00235E72" w:rsidTr="008E3709">
        <w:trPr>
          <w:trHeight w:hRule="exact" w:val="1005"/>
          <w:jc w:val="center"/>
        </w:trPr>
        <w:tc>
          <w:tcPr>
            <w:tcW w:w="725" w:type="pct"/>
            <w:tcBorders>
              <w:top w:val="nil"/>
              <w:left w:val="single" w:sz="4" w:space="0" w:color="000000"/>
              <w:bottom w:val="single" w:sz="4" w:space="0" w:color="000000"/>
              <w:right w:val="single" w:sz="4" w:space="0" w:color="000000"/>
            </w:tcBorders>
          </w:tcPr>
          <w:p w:rsidR="00A014D5" w:rsidRPr="00235E72" w:rsidRDefault="00A014D5" w:rsidP="00171BAB">
            <w:pPr>
              <w:spacing w:after="120" w:line="276" w:lineRule="auto"/>
              <w:rPr>
                <w:rFonts w:ascii="Times New Roman" w:hAnsi="Times New Roman" w:cs="Times New Roman"/>
                <w:sz w:val="18"/>
                <w:szCs w:val="18"/>
              </w:rPr>
            </w:pPr>
          </w:p>
        </w:tc>
        <w:tc>
          <w:tcPr>
            <w:tcW w:w="608" w:type="pct"/>
            <w:tcBorders>
              <w:top w:val="nil"/>
              <w:left w:val="single" w:sz="4" w:space="0" w:color="000000"/>
              <w:bottom w:val="single" w:sz="4" w:space="0" w:color="000000"/>
              <w:right w:val="single" w:sz="4" w:space="0" w:color="000000"/>
            </w:tcBorders>
          </w:tcPr>
          <w:p w:rsidR="00A014D5" w:rsidRPr="00235E72" w:rsidRDefault="00A014D5" w:rsidP="00171BAB">
            <w:pPr>
              <w:spacing w:after="120" w:line="276" w:lineRule="auto"/>
              <w:jc w:val="center"/>
              <w:rPr>
                <w:rFonts w:ascii="Times New Roman" w:hAnsi="Times New Roman" w:cs="Times New Roman"/>
                <w:b/>
                <w:sz w:val="18"/>
                <w:szCs w:val="18"/>
              </w:rPr>
            </w:pPr>
            <w:proofErr w:type="spellStart"/>
            <w:r w:rsidRPr="00235E72">
              <w:rPr>
                <w:rFonts w:ascii="Times New Roman" w:hAnsi="Times New Roman" w:cs="Times New Roman"/>
                <w:b/>
                <w:sz w:val="18"/>
                <w:szCs w:val="18"/>
              </w:rPr>
              <w:t>Conc</w:t>
            </w:r>
            <w:proofErr w:type="spellEnd"/>
            <w:r w:rsidRPr="00235E72">
              <w:rPr>
                <w:rFonts w:ascii="Times New Roman" w:hAnsi="Times New Roman" w:cs="Times New Roman"/>
                <w:b/>
                <w:sz w:val="18"/>
                <w:szCs w:val="18"/>
              </w:rPr>
              <w:t xml:space="preserve"> of the</w:t>
            </w:r>
          </w:p>
          <w:p w:rsidR="00A014D5" w:rsidRPr="00235E72" w:rsidRDefault="00A014D5" w:rsidP="00171BAB">
            <w:pPr>
              <w:spacing w:after="120" w:line="276" w:lineRule="auto"/>
              <w:jc w:val="center"/>
              <w:rPr>
                <w:rFonts w:ascii="Times New Roman" w:hAnsi="Times New Roman" w:cs="Times New Roman"/>
                <w:b/>
                <w:sz w:val="18"/>
                <w:szCs w:val="18"/>
              </w:rPr>
            </w:pPr>
            <w:r w:rsidRPr="00235E72">
              <w:rPr>
                <w:rFonts w:ascii="Times New Roman" w:hAnsi="Times New Roman" w:cs="Times New Roman"/>
                <w:b/>
                <w:sz w:val="18"/>
                <w:szCs w:val="18"/>
              </w:rPr>
              <w:t>solution</w:t>
            </w:r>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(µg/mL)</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Met(n=6)</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r w:rsidRPr="00235E72">
              <w:rPr>
                <w:rFonts w:ascii="Times New Roman" w:hAnsi="Times New Roman" w:cs="Times New Roman"/>
                <w:b/>
                <w:sz w:val="18"/>
                <w:szCs w:val="18"/>
              </w:rPr>
              <w:t>%</w:t>
            </w:r>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RSD</w:t>
            </w:r>
          </w:p>
          <w:p w:rsidR="00A014D5" w:rsidRPr="00235E72" w:rsidRDefault="00A014D5" w:rsidP="00171BAB">
            <w:pPr>
              <w:spacing w:after="120" w:line="276" w:lineRule="auto"/>
              <w:jc w:val="center"/>
              <w:rPr>
                <w:rFonts w:ascii="Times New Roman" w:hAnsi="Times New Roman" w:cs="Times New Roman"/>
                <w:sz w:val="18"/>
                <w:szCs w:val="18"/>
              </w:rPr>
            </w:pPr>
          </w:p>
          <w:p w:rsidR="00A014D5" w:rsidRPr="00235E72" w:rsidRDefault="00A014D5" w:rsidP="00171BAB">
            <w:pPr>
              <w:spacing w:after="120" w:line="276" w:lineRule="auto"/>
              <w:jc w:val="center"/>
              <w:rPr>
                <w:rFonts w:ascii="Times New Roman" w:hAnsi="Times New Roman" w:cs="Times New Roman"/>
                <w:sz w:val="18"/>
                <w:szCs w:val="18"/>
              </w:rPr>
            </w:pP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proofErr w:type="spellStart"/>
            <w:r w:rsidRPr="00235E72">
              <w:rPr>
                <w:rFonts w:ascii="Times New Roman" w:hAnsi="Times New Roman" w:cs="Times New Roman"/>
                <w:b/>
                <w:sz w:val="18"/>
                <w:szCs w:val="18"/>
              </w:rPr>
              <w:t>Empa</w:t>
            </w:r>
            <w:proofErr w:type="spellEnd"/>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(n = 6</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r w:rsidRPr="00235E72">
              <w:rPr>
                <w:rFonts w:ascii="Times New Roman" w:hAnsi="Times New Roman" w:cs="Times New Roman"/>
                <w:b/>
                <w:sz w:val="18"/>
                <w:szCs w:val="18"/>
              </w:rPr>
              <w:t>%</w:t>
            </w:r>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RSD</w:t>
            </w:r>
          </w:p>
          <w:p w:rsidR="00A014D5" w:rsidRPr="00235E72" w:rsidRDefault="00A014D5" w:rsidP="00171BAB">
            <w:pPr>
              <w:spacing w:after="120" w:line="276" w:lineRule="auto"/>
              <w:jc w:val="center"/>
              <w:rPr>
                <w:rFonts w:ascii="Times New Roman" w:hAnsi="Times New Roman" w:cs="Times New Roman"/>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Met(n=6)</w:t>
            </w:r>
          </w:p>
          <w:p w:rsidR="00A014D5" w:rsidRPr="00235E72" w:rsidRDefault="00A014D5" w:rsidP="00171BAB">
            <w:pPr>
              <w:spacing w:after="120" w:line="276" w:lineRule="auto"/>
              <w:jc w:val="center"/>
              <w:rPr>
                <w:rFonts w:ascii="Times New Roman" w:hAnsi="Times New Roman" w:cs="Times New Roman"/>
                <w:sz w:val="18"/>
                <w:szCs w:val="18"/>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r w:rsidRPr="00235E72">
              <w:rPr>
                <w:rFonts w:ascii="Times New Roman" w:hAnsi="Times New Roman" w:cs="Times New Roman"/>
                <w:b/>
                <w:sz w:val="18"/>
                <w:szCs w:val="18"/>
              </w:rPr>
              <w:t>%</w:t>
            </w:r>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RSD</w:t>
            </w:r>
          </w:p>
          <w:p w:rsidR="00A014D5" w:rsidRPr="00235E72" w:rsidRDefault="00A014D5" w:rsidP="00171BAB">
            <w:pPr>
              <w:spacing w:after="120" w:line="276" w:lineRule="auto"/>
              <w:jc w:val="center"/>
              <w:rPr>
                <w:rFonts w:ascii="Times New Roman" w:hAnsi="Times New Roman" w:cs="Times New Roman"/>
                <w:sz w:val="18"/>
                <w:szCs w:val="18"/>
              </w:rPr>
            </w:pPr>
          </w:p>
          <w:p w:rsidR="00A014D5" w:rsidRPr="00235E72" w:rsidRDefault="00A014D5" w:rsidP="00171BAB">
            <w:pPr>
              <w:spacing w:after="120" w:line="276" w:lineRule="auto"/>
              <w:jc w:val="center"/>
              <w:rPr>
                <w:rFonts w:ascii="Times New Roman" w:hAnsi="Times New Roman" w:cs="Times New Roman"/>
                <w:sz w:val="18"/>
                <w:szCs w:val="18"/>
              </w:rPr>
            </w:pP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proofErr w:type="spellStart"/>
            <w:r w:rsidRPr="00235E72">
              <w:rPr>
                <w:rFonts w:ascii="Times New Roman" w:hAnsi="Times New Roman" w:cs="Times New Roman"/>
                <w:b/>
                <w:sz w:val="18"/>
                <w:szCs w:val="18"/>
              </w:rPr>
              <w:t>Empa</w:t>
            </w:r>
            <w:proofErr w:type="spellEnd"/>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(n = 6)</w:t>
            </w:r>
          </w:p>
          <w:p w:rsidR="00A014D5" w:rsidRPr="00235E72" w:rsidRDefault="00A014D5" w:rsidP="00171BAB">
            <w:pPr>
              <w:spacing w:after="120" w:line="276" w:lineRule="auto"/>
              <w:jc w:val="center"/>
              <w:rPr>
                <w:rFonts w:ascii="Times New Roman" w:hAnsi="Times New Roman" w:cs="Times New Roman"/>
                <w:sz w:val="18"/>
                <w:szCs w:val="18"/>
              </w:rPr>
            </w:pP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b/>
                <w:sz w:val="18"/>
                <w:szCs w:val="18"/>
              </w:rPr>
            </w:pPr>
            <w:r w:rsidRPr="00235E72">
              <w:rPr>
                <w:rFonts w:ascii="Times New Roman" w:hAnsi="Times New Roman" w:cs="Times New Roman"/>
                <w:b/>
                <w:sz w:val="18"/>
                <w:szCs w:val="18"/>
              </w:rPr>
              <w:t>%</w:t>
            </w:r>
          </w:p>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RSD</w:t>
            </w:r>
          </w:p>
          <w:p w:rsidR="00A014D5" w:rsidRPr="00235E72" w:rsidRDefault="00A014D5" w:rsidP="00171BAB">
            <w:pPr>
              <w:spacing w:after="120" w:line="276" w:lineRule="auto"/>
              <w:jc w:val="center"/>
              <w:rPr>
                <w:rFonts w:ascii="Times New Roman" w:hAnsi="Times New Roman" w:cs="Times New Roman"/>
                <w:sz w:val="18"/>
                <w:szCs w:val="18"/>
              </w:rPr>
            </w:pPr>
          </w:p>
        </w:tc>
      </w:tr>
      <w:tr w:rsidR="00A014D5" w:rsidRPr="00235E72" w:rsidTr="008E3709">
        <w:trPr>
          <w:trHeight w:hRule="exact" w:val="284"/>
          <w:jc w:val="center"/>
        </w:trPr>
        <w:tc>
          <w:tcPr>
            <w:tcW w:w="725" w:type="pct"/>
            <w:tcBorders>
              <w:top w:val="single" w:sz="4" w:space="0" w:color="000000"/>
              <w:left w:val="single" w:sz="4" w:space="0" w:color="000000"/>
              <w:bottom w:val="single" w:sz="4" w:space="0" w:color="000000"/>
              <w:right w:val="single" w:sz="4" w:space="0" w:color="000000"/>
            </w:tcBorders>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Repeatability </w:t>
            </w: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0.514</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0.502</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0.356</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0.674</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0.526</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0.288</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0.424</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0.50</w:t>
            </w:r>
          </w:p>
        </w:tc>
      </w:tr>
      <w:tr w:rsidR="00A014D5" w:rsidRPr="00235E72" w:rsidTr="008E3709">
        <w:trPr>
          <w:trHeight w:hRule="exact" w:val="284"/>
          <w:jc w:val="center"/>
        </w:trPr>
        <w:tc>
          <w:tcPr>
            <w:tcW w:w="725" w:type="pct"/>
            <w:vMerge w:val="restar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Intra-day Precision </w:t>
            </w: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5</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0.193</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1.371</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0.146</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1.014</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0.192</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1.041</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0.095</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1.05</w:t>
            </w:r>
          </w:p>
        </w:tc>
      </w:tr>
      <w:tr w:rsidR="00A014D5" w:rsidRPr="00235E72" w:rsidTr="008E3709">
        <w:trPr>
          <w:trHeight w:hRule="exact" w:val="284"/>
          <w:jc w:val="center"/>
        </w:trPr>
        <w:tc>
          <w:tcPr>
            <w:tcW w:w="725" w:type="pct"/>
            <w:vMerge/>
            <w:tcBorders>
              <w:top w:val="nil"/>
              <w:left w:val="single" w:sz="4" w:space="0" w:color="000000"/>
              <w:bottom w:val="nil"/>
              <w:right w:val="single" w:sz="4" w:space="0" w:color="000000"/>
            </w:tcBorders>
          </w:tcPr>
          <w:p w:rsidR="00A014D5" w:rsidRPr="00235E72" w:rsidRDefault="00A014D5" w:rsidP="00171BAB">
            <w:pPr>
              <w:spacing w:after="120" w:line="276" w:lineRule="auto"/>
              <w:rPr>
                <w:rFonts w:ascii="Times New Roman" w:hAnsi="Times New Roman" w:cs="Times New Roman"/>
                <w:sz w:val="18"/>
                <w:szCs w:val="18"/>
              </w:rPr>
            </w:pP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0.515</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0.224</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0.525</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0.397</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0.356</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0.429</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0.424</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0.59</w:t>
            </w:r>
          </w:p>
        </w:tc>
      </w:tr>
      <w:tr w:rsidR="00A014D5" w:rsidRPr="00235E72" w:rsidTr="008E3709">
        <w:trPr>
          <w:trHeight w:hRule="exact" w:val="284"/>
          <w:jc w:val="center"/>
        </w:trPr>
        <w:tc>
          <w:tcPr>
            <w:tcW w:w="725" w:type="pct"/>
            <w:vMerge/>
            <w:tcBorders>
              <w:top w:val="nil"/>
              <w:left w:val="single" w:sz="4" w:space="0" w:color="000000"/>
              <w:bottom w:val="single" w:sz="4" w:space="0" w:color="000000"/>
              <w:right w:val="single" w:sz="4" w:space="0" w:color="000000"/>
            </w:tcBorders>
            <w:vAlign w:val="bottom"/>
          </w:tcPr>
          <w:p w:rsidR="00A014D5" w:rsidRPr="00235E72" w:rsidRDefault="00A014D5" w:rsidP="00171BAB">
            <w:pPr>
              <w:spacing w:after="120" w:line="276" w:lineRule="auto"/>
              <w:rPr>
                <w:rFonts w:ascii="Times New Roman" w:hAnsi="Times New Roman" w:cs="Times New Roman"/>
                <w:sz w:val="18"/>
                <w:szCs w:val="18"/>
              </w:rPr>
            </w:pP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17.5</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1.205</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0.332</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1.254</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0.319</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0.78</w:t>
            </w:r>
            <w:r w:rsidR="00B23BE7" w:rsidRPr="00235E72">
              <w:rPr>
                <w:rFonts w:ascii="Times New Roman" w:hAnsi="Times New Roman" w:cs="Times New Roman"/>
                <w:sz w:val="18"/>
                <w:szCs w:val="18"/>
              </w:rPr>
              <w:t>9</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0.194</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1.183</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0.25</w:t>
            </w:r>
          </w:p>
        </w:tc>
      </w:tr>
      <w:tr w:rsidR="00A014D5" w:rsidRPr="00235E72" w:rsidTr="008E3709">
        <w:trPr>
          <w:trHeight w:hRule="exact" w:val="284"/>
          <w:jc w:val="center"/>
        </w:trPr>
        <w:tc>
          <w:tcPr>
            <w:tcW w:w="725" w:type="pct"/>
            <w:vMerge w:val="restar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Inter-day Precision </w:t>
            </w: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5</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0.192</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1.826</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0.147</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1.041</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0.191</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1.597</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0.095</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1.05</w:t>
            </w:r>
          </w:p>
        </w:tc>
      </w:tr>
      <w:tr w:rsidR="00A014D5" w:rsidRPr="00235E72" w:rsidTr="008E3709">
        <w:trPr>
          <w:trHeight w:hRule="exact" w:val="284"/>
          <w:jc w:val="center"/>
        </w:trPr>
        <w:tc>
          <w:tcPr>
            <w:tcW w:w="725" w:type="pct"/>
            <w:vMerge/>
            <w:tcBorders>
              <w:top w:val="nil"/>
              <w:left w:val="single" w:sz="4" w:space="0" w:color="000000"/>
              <w:bottom w:val="nil"/>
              <w:right w:val="single" w:sz="4" w:space="0" w:color="000000"/>
            </w:tcBorders>
            <w:vAlign w:val="center"/>
          </w:tcPr>
          <w:p w:rsidR="00A014D5" w:rsidRPr="00235E72" w:rsidRDefault="00A014D5" w:rsidP="00171BAB">
            <w:pPr>
              <w:spacing w:after="120" w:line="276" w:lineRule="auto"/>
              <w:rPr>
                <w:rFonts w:ascii="Times New Roman" w:hAnsi="Times New Roman" w:cs="Times New Roman"/>
                <w:sz w:val="18"/>
                <w:szCs w:val="18"/>
              </w:rPr>
            </w:pP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10</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0.514</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0.583</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0.525</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0.397</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0.355</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0.988</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0.424</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0.59</w:t>
            </w:r>
          </w:p>
        </w:tc>
      </w:tr>
      <w:tr w:rsidR="00A014D5" w:rsidRPr="00235E72" w:rsidTr="008E3709">
        <w:trPr>
          <w:trHeight w:hRule="exact" w:val="284"/>
          <w:jc w:val="center"/>
        </w:trPr>
        <w:tc>
          <w:tcPr>
            <w:tcW w:w="725" w:type="pct"/>
            <w:vMerge/>
            <w:tcBorders>
              <w:top w:val="nil"/>
              <w:left w:val="single" w:sz="4" w:space="0" w:color="000000"/>
              <w:bottom w:val="single" w:sz="4" w:space="0" w:color="000000"/>
              <w:right w:val="single" w:sz="4" w:space="0" w:color="000000"/>
            </w:tcBorders>
            <w:vAlign w:val="bottom"/>
          </w:tcPr>
          <w:p w:rsidR="00A014D5" w:rsidRPr="00235E72" w:rsidRDefault="00A014D5" w:rsidP="00171BAB">
            <w:pPr>
              <w:spacing w:after="120" w:line="276" w:lineRule="auto"/>
              <w:rPr>
                <w:rFonts w:ascii="Times New Roman" w:hAnsi="Times New Roman" w:cs="Times New Roman"/>
                <w:sz w:val="18"/>
                <w:szCs w:val="18"/>
              </w:rPr>
            </w:pPr>
          </w:p>
        </w:tc>
        <w:tc>
          <w:tcPr>
            <w:tcW w:w="608"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17.5</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1.201</w:t>
            </w:r>
          </w:p>
        </w:tc>
        <w:tc>
          <w:tcPr>
            <w:tcW w:w="392"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0.584</w:t>
            </w:r>
          </w:p>
        </w:tc>
        <w:tc>
          <w:tcPr>
            <w:tcW w:w="46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1.254</w:t>
            </w:r>
          </w:p>
        </w:tc>
        <w:tc>
          <w:tcPr>
            <w:tcW w:w="415"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0.319</w:t>
            </w:r>
          </w:p>
        </w:tc>
        <w:tc>
          <w:tcPr>
            <w:tcW w:w="51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B23BE7"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0.784</w:t>
            </w:r>
          </w:p>
        </w:tc>
        <w:tc>
          <w:tcPr>
            <w:tcW w:w="373"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0.575</w:t>
            </w:r>
          </w:p>
        </w:tc>
        <w:tc>
          <w:tcPr>
            <w:tcW w:w="590"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1.183</w:t>
            </w:r>
          </w:p>
        </w:tc>
        <w:tc>
          <w:tcPr>
            <w:tcW w:w="406" w:type="pct"/>
            <w:tcBorders>
              <w:top w:val="single" w:sz="4" w:space="0" w:color="000000"/>
              <w:left w:val="single" w:sz="4" w:space="0" w:color="000000"/>
              <w:bottom w:val="single" w:sz="4" w:space="0" w:color="000000"/>
              <w:right w:val="single" w:sz="4" w:space="0" w:color="000000"/>
            </w:tcBorders>
            <w:vAlign w:val="center"/>
          </w:tcPr>
          <w:p w:rsidR="00A014D5" w:rsidRPr="00235E72" w:rsidRDefault="00A014D5" w:rsidP="00171BAB">
            <w:pPr>
              <w:spacing w:after="120" w:line="276" w:lineRule="auto"/>
              <w:jc w:val="center"/>
              <w:rPr>
                <w:rFonts w:ascii="Times New Roman" w:hAnsi="Times New Roman" w:cs="Times New Roman"/>
                <w:sz w:val="18"/>
                <w:szCs w:val="18"/>
              </w:rPr>
            </w:pPr>
            <w:r w:rsidRPr="00235E72">
              <w:rPr>
                <w:rFonts w:ascii="Times New Roman" w:hAnsi="Times New Roman" w:cs="Times New Roman"/>
                <w:sz w:val="18"/>
                <w:szCs w:val="18"/>
              </w:rPr>
              <w:t>0.25</w:t>
            </w:r>
          </w:p>
        </w:tc>
      </w:tr>
    </w:tbl>
    <w:p w:rsidR="001D7DF8" w:rsidRPr="00235E72" w:rsidRDefault="001D7DF8" w:rsidP="008E3709">
      <w:pPr>
        <w:spacing w:after="120" w:line="240" w:lineRule="auto"/>
        <w:jc w:val="center"/>
        <w:rPr>
          <w:rFonts w:ascii="Times New Roman" w:hAnsi="Times New Roman" w:cs="Times New Roman"/>
          <w:b/>
          <w:sz w:val="18"/>
          <w:szCs w:val="18"/>
        </w:rPr>
      </w:pPr>
    </w:p>
    <w:p w:rsidR="008E7475" w:rsidRPr="00235E72" w:rsidRDefault="00427A5E" w:rsidP="000D797F">
      <w:pPr>
        <w:spacing w:after="120" w:line="240"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Table </w:t>
      </w:r>
      <w:r w:rsidR="00130136" w:rsidRPr="00235E72">
        <w:rPr>
          <w:rFonts w:ascii="Times New Roman" w:hAnsi="Times New Roman" w:cs="Times New Roman"/>
          <w:b/>
          <w:sz w:val="18"/>
          <w:szCs w:val="18"/>
        </w:rPr>
        <w:t>3</w:t>
      </w:r>
      <w:r w:rsidR="008A1614" w:rsidRPr="00235E72">
        <w:rPr>
          <w:rFonts w:ascii="Times New Roman" w:hAnsi="Times New Roman" w:cs="Times New Roman"/>
          <w:b/>
          <w:sz w:val="18"/>
          <w:szCs w:val="18"/>
        </w:rPr>
        <w:t>: Results</w:t>
      </w:r>
      <w:r w:rsidR="00130136" w:rsidRPr="00235E72">
        <w:rPr>
          <w:rFonts w:ascii="Times New Roman" w:hAnsi="Times New Roman" w:cs="Times New Roman"/>
          <w:b/>
          <w:sz w:val="18"/>
          <w:szCs w:val="18"/>
        </w:rPr>
        <w:t xml:space="preserve"> of Recovery Studies of Metformin</w:t>
      </w:r>
    </w:p>
    <w:tbl>
      <w:tblPr>
        <w:tblStyle w:val="TableGrid"/>
        <w:tblW w:w="4900" w:type="pct"/>
        <w:jc w:val="center"/>
        <w:tblInd w:w="0" w:type="dxa"/>
        <w:tblCellMar>
          <w:top w:w="70" w:type="dxa"/>
          <w:left w:w="162" w:type="dxa"/>
          <w:right w:w="113" w:type="dxa"/>
        </w:tblCellMar>
        <w:tblLook w:val="04A0" w:firstRow="1" w:lastRow="0" w:firstColumn="1" w:lastColumn="0" w:noHBand="0" w:noVBand="1"/>
      </w:tblPr>
      <w:tblGrid>
        <w:gridCol w:w="1297"/>
        <w:gridCol w:w="1569"/>
        <w:gridCol w:w="1638"/>
        <w:gridCol w:w="1972"/>
        <w:gridCol w:w="1796"/>
        <w:gridCol w:w="1609"/>
      </w:tblGrid>
      <w:tr w:rsidR="008E7475" w:rsidRPr="00235E72" w:rsidTr="00171BAB">
        <w:trPr>
          <w:trHeight w:val="748"/>
          <w:jc w:val="center"/>
        </w:trPr>
        <w:tc>
          <w:tcPr>
            <w:tcW w:w="656"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Conc. Level (%) </w:t>
            </w:r>
          </w:p>
        </w:tc>
        <w:tc>
          <w:tcPr>
            <w:tcW w:w="79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Sample 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829" w:type="pct"/>
            <w:tcBorders>
              <w:top w:val="single" w:sz="4" w:space="0" w:color="000000"/>
              <w:left w:val="single" w:sz="4" w:space="0" w:color="000000"/>
              <w:bottom w:val="single" w:sz="4" w:space="0" w:color="000000"/>
              <w:right w:val="single" w:sz="4" w:space="0" w:color="000000"/>
            </w:tcBorders>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Added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998"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Recovered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909"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 Recovery </w:t>
            </w:r>
          </w:p>
        </w:tc>
        <w:tc>
          <w:tcPr>
            <w:tcW w:w="81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 Mean Recovery ± S.D </w:t>
            </w:r>
          </w:p>
        </w:tc>
      </w:tr>
      <w:tr w:rsidR="00E94CEB" w:rsidRPr="00235E72" w:rsidTr="000D797F">
        <w:trPr>
          <w:trHeight w:val="57"/>
          <w:jc w:val="center"/>
        </w:trPr>
        <w:tc>
          <w:tcPr>
            <w:tcW w:w="656"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80 % </w:t>
            </w: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4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4.17</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104.25</w:t>
            </w:r>
          </w:p>
        </w:tc>
        <w:tc>
          <w:tcPr>
            <w:tcW w:w="814"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102.13 ± 1.898</w:t>
            </w:r>
          </w:p>
        </w:tc>
      </w:tr>
      <w:tr w:rsidR="00E94CEB" w:rsidRPr="00235E72" w:rsidTr="000D797F">
        <w:trPr>
          <w:trHeight w:val="57"/>
          <w:jc w:val="center"/>
        </w:trPr>
        <w:tc>
          <w:tcPr>
            <w:tcW w:w="656" w:type="pct"/>
            <w:vMerge/>
            <w:tcBorders>
              <w:top w:val="nil"/>
              <w:left w:val="single" w:sz="4" w:space="0" w:color="000000"/>
              <w:bottom w:val="nil"/>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4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4.061</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101.53</w:t>
            </w:r>
          </w:p>
        </w:tc>
        <w:tc>
          <w:tcPr>
            <w:tcW w:w="814" w:type="pct"/>
            <w:vMerge/>
            <w:tcBorders>
              <w:top w:val="nil"/>
              <w:left w:val="single" w:sz="4" w:space="0" w:color="000000"/>
              <w:bottom w:val="nil"/>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p>
        </w:tc>
      </w:tr>
      <w:tr w:rsidR="00E94CEB" w:rsidRPr="00235E72" w:rsidTr="000D797F">
        <w:trPr>
          <w:trHeight w:val="57"/>
          <w:jc w:val="center"/>
        </w:trPr>
        <w:tc>
          <w:tcPr>
            <w:tcW w:w="656" w:type="pct"/>
            <w:vMerge/>
            <w:tcBorders>
              <w:top w:val="nil"/>
              <w:left w:val="single" w:sz="4" w:space="0" w:color="000000"/>
              <w:bottom w:val="single" w:sz="4" w:space="0" w:color="000000"/>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4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4.024</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100.60</w:t>
            </w:r>
          </w:p>
        </w:tc>
        <w:tc>
          <w:tcPr>
            <w:tcW w:w="814" w:type="pct"/>
            <w:vMerge/>
            <w:tcBorders>
              <w:top w:val="nil"/>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p>
        </w:tc>
      </w:tr>
      <w:tr w:rsidR="00E94CEB" w:rsidRPr="00235E72" w:rsidTr="000D797F">
        <w:trPr>
          <w:trHeight w:val="57"/>
          <w:jc w:val="center"/>
        </w:trPr>
        <w:tc>
          <w:tcPr>
            <w:tcW w:w="656"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100 % </w:t>
            </w: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5.212</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104.24</w:t>
            </w:r>
          </w:p>
        </w:tc>
        <w:tc>
          <w:tcPr>
            <w:tcW w:w="814"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102.14 ± 2.110</w:t>
            </w:r>
          </w:p>
        </w:tc>
      </w:tr>
      <w:tr w:rsidR="00E94CEB" w:rsidRPr="00235E72" w:rsidTr="000D797F">
        <w:trPr>
          <w:trHeight w:val="57"/>
          <w:jc w:val="center"/>
        </w:trPr>
        <w:tc>
          <w:tcPr>
            <w:tcW w:w="656" w:type="pct"/>
            <w:vMerge/>
            <w:tcBorders>
              <w:top w:val="nil"/>
              <w:left w:val="single" w:sz="4" w:space="0" w:color="000000"/>
              <w:bottom w:val="nil"/>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5.108</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102.16</w:t>
            </w:r>
          </w:p>
        </w:tc>
        <w:tc>
          <w:tcPr>
            <w:tcW w:w="814" w:type="pct"/>
            <w:vMerge/>
            <w:tcBorders>
              <w:top w:val="nil"/>
              <w:left w:val="single" w:sz="4" w:space="0" w:color="000000"/>
              <w:bottom w:val="nil"/>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p>
        </w:tc>
      </w:tr>
      <w:tr w:rsidR="00E94CEB" w:rsidRPr="00235E72" w:rsidTr="000D797F">
        <w:trPr>
          <w:trHeight w:val="57"/>
          <w:jc w:val="center"/>
        </w:trPr>
        <w:tc>
          <w:tcPr>
            <w:tcW w:w="656" w:type="pct"/>
            <w:vMerge/>
            <w:tcBorders>
              <w:top w:val="nil"/>
              <w:left w:val="single" w:sz="4" w:space="0" w:color="000000"/>
              <w:bottom w:val="single" w:sz="4" w:space="0" w:color="000000"/>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5.001</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100.02</w:t>
            </w:r>
          </w:p>
        </w:tc>
        <w:tc>
          <w:tcPr>
            <w:tcW w:w="814" w:type="pct"/>
            <w:vMerge/>
            <w:tcBorders>
              <w:top w:val="nil"/>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p>
        </w:tc>
      </w:tr>
      <w:tr w:rsidR="00E94CEB" w:rsidRPr="00235E72" w:rsidTr="000D797F">
        <w:trPr>
          <w:trHeight w:val="57"/>
          <w:jc w:val="center"/>
        </w:trPr>
        <w:tc>
          <w:tcPr>
            <w:tcW w:w="656"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120 % </w:t>
            </w: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6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6.113</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101.88</w:t>
            </w:r>
          </w:p>
        </w:tc>
        <w:tc>
          <w:tcPr>
            <w:tcW w:w="814"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101.29 ± 0.876</w:t>
            </w:r>
          </w:p>
        </w:tc>
      </w:tr>
      <w:tr w:rsidR="00E94CEB" w:rsidRPr="00235E72" w:rsidTr="000D797F">
        <w:trPr>
          <w:trHeight w:val="57"/>
          <w:jc w:val="center"/>
        </w:trPr>
        <w:tc>
          <w:tcPr>
            <w:tcW w:w="656" w:type="pct"/>
            <w:vMerge/>
            <w:tcBorders>
              <w:top w:val="nil"/>
              <w:left w:val="single" w:sz="4" w:space="0" w:color="000000"/>
              <w:bottom w:val="nil"/>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6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6.102</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101.70</w:t>
            </w:r>
          </w:p>
        </w:tc>
        <w:tc>
          <w:tcPr>
            <w:tcW w:w="814" w:type="pct"/>
            <w:vMerge/>
            <w:tcBorders>
              <w:top w:val="nil"/>
              <w:left w:val="single" w:sz="4" w:space="0" w:color="000000"/>
              <w:bottom w:val="nil"/>
              <w:right w:val="single" w:sz="4" w:space="0" w:color="000000"/>
            </w:tcBorders>
          </w:tcPr>
          <w:p w:rsidR="00E94CEB" w:rsidRPr="00235E72" w:rsidRDefault="00E94CEB" w:rsidP="00171BAB">
            <w:pPr>
              <w:rPr>
                <w:rFonts w:ascii="Times New Roman" w:hAnsi="Times New Roman" w:cs="Times New Roman"/>
                <w:sz w:val="18"/>
                <w:szCs w:val="18"/>
              </w:rPr>
            </w:pPr>
          </w:p>
        </w:tc>
      </w:tr>
      <w:tr w:rsidR="00E94CEB" w:rsidRPr="00235E72" w:rsidTr="000D797F">
        <w:trPr>
          <w:trHeight w:val="57"/>
          <w:jc w:val="center"/>
        </w:trPr>
        <w:tc>
          <w:tcPr>
            <w:tcW w:w="656" w:type="pct"/>
            <w:vMerge/>
            <w:tcBorders>
              <w:top w:val="nil"/>
              <w:left w:val="single" w:sz="4" w:space="0" w:color="000000"/>
              <w:bottom w:val="single" w:sz="4" w:space="0" w:color="000000"/>
              <w:right w:val="single" w:sz="4" w:space="0" w:color="000000"/>
            </w:tcBorders>
          </w:tcPr>
          <w:p w:rsidR="00E94CEB" w:rsidRPr="00235E72" w:rsidRDefault="00E94CEB" w:rsidP="00171BAB">
            <w:pPr>
              <w:rPr>
                <w:rFonts w:ascii="Times New Roman" w:hAnsi="Times New Roman" w:cs="Times New Roman"/>
                <w:sz w:val="18"/>
                <w:szCs w:val="18"/>
              </w:rPr>
            </w:pPr>
          </w:p>
        </w:tc>
        <w:tc>
          <w:tcPr>
            <w:tcW w:w="794"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29" w:type="pct"/>
            <w:tcBorders>
              <w:top w:val="single" w:sz="4" w:space="0" w:color="000000"/>
              <w:left w:val="single" w:sz="4" w:space="0" w:color="000000"/>
              <w:bottom w:val="single" w:sz="4" w:space="0" w:color="000000"/>
              <w:right w:val="single" w:sz="4" w:space="0" w:color="000000"/>
            </w:tcBorders>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6 </w:t>
            </w:r>
          </w:p>
        </w:tc>
        <w:tc>
          <w:tcPr>
            <w:tcW w:w="998"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6.017</w:t>
            </w:r>
          </w:p>
        </w:tc>
        <w:tc>
          <w:tcPr>
            <w:tcW w:w="909" w:type="pc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100.28</w:t>
            </w:r>
          </w:p>
        </w:tc>
        <w:tc>
          <w:tcPr>
            <w:tcW w:w="814" w:type="pct"/>
            <w:vMerge/>
            <w:tcBorders>
              <w:top w:val="nil"/>
              <w:left w:val="single" w:sz="4" w:space="0" w:color="000000"/>
              <w:bottom w:val="single" w:sz="4" w:space="0" w:color="000000"/>
              <w:right w:val="single" w:sz="4" w:space="0" w:color="000000"/>
            </w:tcBorders>
          </w:tcPr>
          <w:p w:rsidR="00E94CEB" w:rsidRPr="00235E72" w:rsidRDefault="00E94CEB" w:rsidP="00171BAB">
            <w:pPr>
              <w:rPr>
                <w:rFonts w:ascii="Times New Roman" w:hAnsi="Times New Roman" w:cs="Times New Roman"/>
                <w:sz w:val="18"/>
                <w:szCs w:val="18"/>
              </w:rPr>
            </w:pPr>
          </w:p>
        </w:tc>
      </w:tr>
    </w:tbl>
    <w:p w:rsidR="00130136" w:rsidRPr="00235E72" w:rsidRDefault="00130136" w:rsidP="008E3709">
      <w:pPr>
        <w:spacing w:after="120" w:line="240" w:lineRule="auto"/>
        <w:jc w:val="right"/>
        <w:rPr>
          <w:rFonts w:ascii="Times New Roman" w:hAnsi="Times New Roman" w:cs="Times New Roman"/>
          <w:b/>
          <w:sz w:val="18"/>
          <w:szCs w:val="18"/>
        </w:rPr>
      </w:pPr>
    </w:p>
    <w:p w:rsidR="008E7475" w:rsidRPr="00235E72" w:rsidRDefault="00427A5E" w:rsidP="008E3709">
      <w:pPr>
        <w:spacing w:after="120" w:line="240" w:lineRule="auto"/>
        <w:jc w:val="center"/>
        <w:rPr>
          <w:rFonts w:ascii="Times New Roman" w:hAnsi="Times New Roman" w:cs="Times New Roman"/>
          <w:sz w:val="18"/>
          <w:szCs w:val="18"/>
        </w:rPr>
      </w:pPr>
      <w:r w:rsidRPr="00235E72">
        <w:rPr>
          <w:rFonts w:ascii="Times New Roman" w:hAnsi="Times New Roman" w:cs="Times New Roman"/>
          <w:b/>
          <w:sz w:val="18"/>
          <w:szCs w:val="18"/>
        </w:rPr>
        <w:t xml:space="preserve">Table </w:t>
      </w:r>
      <w:r w:rsidR="008E7475" w:rsidRPr="00235E72">
        <w:rPr>
          <w:rFonts w:ascii="Times New Roman" w:hAnsi="Times New Roman" w:cs="Times New Roman"/>
          <w:b/>
          <w:sz w:val="18"/>
          <w:szCs w:val="18"/>
        </w:rPr>
        <w:t>4</w:t>
      </w:r>
      <w:r w:rsidR="008A1614" w:rsidRPr="00235E72">
        <w:rPr>
          <w:rFonts w:ascii="Times New Roman" w:hAnsi="Times New Roman" w:cs="Times New Roman"/>
          <w:b/>
          <w:sz w:val="18"/>
          <w:szCs w:val="18"/>
        </w:rPr>
        <w:t>: Results</w:t>
      </w:r>
      <w:r w:rsidR="00130136" w:rsidRPr="00235E72">
        <w:rPr>
          <w:rFonts w:ascii="Times New Roman" w:hAnsi="Times New Roman" w:cs="Times New Roman"/>
          <w:b/>
          <w:sz w:val="18"/>
          <w:szCs w:val="18"/>
        </w:rPr>
        <w:t xml:space="preserve"> of Recovery Studies of </w:t>
      </w:r>
      <w:proofErr w:type="spellStart"/>
      <w:r w:rsidR="00816940" w:rsidRPr="00235E72">
        <w:rPr>
          <w:rFonts w:ascii="Times New Roman" w:hAnsi="Times New Roman" w:cs="Times New Roman"/>
          <w:b/>
          <w:sz w:val="18"/>
          <w:szCs w:val="18"/>
        </w:rPr>
        <w:t>Empagliflozin</w:t>
      </w:r>
      <w:proofErr w:type="spellEnd"/>
    </w:p>
    <w:tbl>
      <w:tblPr>
        <w:tblStyle w:val="TableGrid"/>
        <w:tblW w:w="4860" w:type="pct"/>
        <w:jc w:val="center"/>
        <w:tblInd w:w="0" w:type="dxa"/>
        <w:tblCellMar>
          <w:top w:w="70" w:type="dxa"/>
          <w:left w:w="162" w:type="dxa"/>
          <w:right w:w="113" w:type="dxa"/>
        </w:tblCellMar>
        <w:tblLook w:val="04A0" w:firstRow="1" w:lastRow="0" w:firstColumn="1" w:lastColumn="0" w:noHBand="0" w:noVBand="1"/>
      </w:tblPr>
      <w:tblGrid>
        <w:gridCol w:w="1295"/>
        <w:gridCol w:w="1568"/>
        <w:gridCol w:w="1637"/>
        <w:gridCol w:w="1974"/>
        <w:gridCol w:w="1798"/>
        <w:gridCol w:w="1529"/>
      </w:tblGrid>
      <w:tr w:rsidR="008E7475" w:rsidRPr="00235E72" w:rsidTr="000D797F">
        <w:trPr>
          <w:trHeight w:hRule="exact" w:val="993"/>
          <w:jc w:val="center"/>
        </w:trPr>
        <w:tc>
          <w:tcPr>
            <w:tcW w:w="661"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Conc. Level (%) </w:t>
            </w:r>
          </w:p>
        </w:tc>
        <w:tc>
          <w:tcPr>
            <w:tcW w:w="80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Sample 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835" w:type="pct"/>
            <w:tcBorders>
              <w:top w:val="single" w:sz="4" w:space="0" w:color="000000"/>
              <w:left w:val="single" w:sz="4" w:space="0" w:color="000000"/>
              <w:bottom w:val="single" w:sz="4" w:space="0" w:color="000000"/>
              <w:right w:val="single" w:sz="4" w:space="0" w:color="000000"/>
            </w:tcBorders>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 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Added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1007"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Amount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Recovered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w:t>
            </w:r>
            <w:proofErr w:type="spellStart"/>
            <w:r w:rsidRPr="00235E72">
              <w:rPr>
                <w:rFonts w:ascii="Times New Roman" w:hAnsi="Times New Roman" w:cs="Times New Roman"/>
                <w:b/>
                <w:sz w:val="18"/>
                <w:szCs w:val="18"/>
              </w:rPr>
              <w:t>μg</w:t>
            </w:r>
            <w:proofErr w:type="spellEnd"/>
            <w:r w:rsidRPr="00235E72">
              <w:rPr>
                <w:rFonts w:ascii="Times New Roman" w:hAnsi="Times New Roman" w:cs="Times New Roman"/>
                <w:b/>
                <w:sz w:val="18"/>
                <w:szCs w:val="18"/>
              </w:rPr>
              <w:t xml:space="preserve">/ml) </w:t>
            </w:r>
          </w:p>
        </w:tc>
        <w:tc>
          <w:tcPr>
            <w:tcW w:w="917"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 </w:t>
            </w:r>
          </w:p>
          <w:p w:rsidR="008E7475" w:rsidRPr="00235E72" w:rsidRDefault="008E7475" w:rsidP="00171BAB">
            <w:pPr>
              <w:jc w:val="center"/>
              <w:rPr>
                <w:rFonts w:ascii="Times New Roman" w:hAnsi="Times New Roman" w:cs="Times New Roman"/>
                <w:sz w:val="18"/>
                <w:szCs w:val="18"/>
              </w:rPr>
            </w:pPr>
            <w:r w:rsidRPr="00235E72">
              <w:rPr>
                <w:rFonts w:ascii="Times New Roman" w:hAnsi="Times New Roman" w:cs="Times New Roman"/>
                <w:b/>
                <w:sz w:val="18"/>
                <w:szCs w:val="18"/>
              </w:rPr>
              <w:t xml:space="preserve">Recovery </w:t>
            </w:r>
          </w:p>
        </w:tc>
        <w:tc>
          <w:tcPr>
            <w:tcW w:w="78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AF0306" w:rsidP="00171BAB">
            <w:pPr>
              <w:jc w:val="center"/>
              <w:rPr>
                <w:rFonts w:ascii="Times New Roman" w:hAnsi="Times New Roman" w:cs="Times New Roman"/>
                <w:sz w:val="18"/>
                <w:szCs w:val="18"/>
              </w:rPr>
            </w:pPr>
            <w:r w:rsidRPr="00235E72">
              <w:rPr>
                <w:rFonts w:ascii="Times New Roman" w:hAnsi="Times New Roman" w:cs="Times New Roman"/>
                <w:b/>
                <w:sz w:val="18"/>
                <w:szCs w:val="18"/>
              </w:rPr>
              <w:t>% Mean Recovery ± S</w:t>
            </w:r>
            <w:r w:rsidR="008E7475" w:rsidRPr="00235E72">
              <w:rPr>
                <w:rFonts w:ascii="Times New Roman" w:hAnsi="Times New Roman" w:cs="Times New Roman"/>
                <w:b/>
                <w:sz w:val="18"/>
                <w:szCs w:val="18"/>
              </w:rPr>
              <w:t xml:space="preserve">D </w:t>
            </w:r>
          </w:p>
        </w:tc>
      </w:tr>
      <w:tr w:rsidR="00942DF6" w:rsidRPr="00235E72" w:rsidTr="000D797F">
        <w:trPr>
          <w:trHeight w:val="355"/>
          <w:jc w:val="center"/>
        </w:trPr>
        <w:tc>
          <w:tcPr>
            <w:tcW w:w="661" w:type="pct"/>
            <w:vMerge w:val="restar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80 % </w:t>
            </w: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4</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4.069</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101.73</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rsidR="00942DF6"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100.41 </w:t>
            </w:r>
            <w:r w:rsidRPr="00235E72">
              <w:rPr>
                <w:rFonts w:ascii="Times New Roman" w:hAnsi="Times New Roman" w:cs="Times New Roman"/>
                <w:b/>
                <w:sz w:val="18"/>
                <w:szCs w:val="18"/>
              </w:rPr>
              <w:t>±</w:t>
            </w:r>
            <w:r w:rsidRPr="00235E72">
              <w:rPr>
                <w:rFonts w:ascii="Times New Roman" w:hAnsi="Times New Roman" w:cs="Times New Roman"/>
                <w:sz w:val="18"/>
                <w:szCs w:val="18"/>
              </w:rPr>
              <w:t>3.093</w:t>
            </w:r>
          </w:p>
        </w:tc>
      </w:tr>
      <w:tr w:rsidR="00942DF6" w:rsidRPr="00235E72" w:rsidTr="000D797F">
        <w:trPr>
          <w:trHeight w:val="370"/>
          <w:jc w:val="center"/>
        </w:trPr>
        <w:tc>
          <w:tcPr>
            <w:tcW w:w="661" w:type="pct"/>
            <w:vMerge/>
            <w:tcBorders>
              <w:top w:val="nil"/>
              <w:left w:val="single" w:sz="4" w:space="0" w:color="000000"/>
              <w:bottom w:val="nil"/>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4</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3.875</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96.88</w:t>
            </w:r>
          </w:p>
        </w:tc>
        <w:tc>
          <w:tcPr>
            <w:tcW w:w="780" w:type="pct"/>
            <w:vMerge/>
            <w:tcBorders>
              <w:top w:val="nil"/>
              <w:left w:val="single" w:sz="4" w:space="0" w:color="000000"/>
              <w:bottom w:val="nil"/>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p>
        </w:tc>
      </w:tr>
      <w:tr w:rsidR="00942DF6" w:rsidRPr="00235E72" w:rsidTr="000D797F">
        <w:trPr>
          <w:trHeight w:val="355"/>
          <w:jc w:val="center"/>
        </w:trPr>
        <w:tc>
          <w:tcPr>
            <w:tcW w:w="661" w:type="pct"/>
            <w:vMerge/>
            <w:tcBorders>
              <w:top w:val="nil"/>
              <w:left w:val="single" w:sz="4" w:space="0" w:color="000000"/>
              <w:bottom w:val="single" w:sz="4" w:space="0" w:color="000000"/>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4</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4.105</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102.63</w:t>
            </w:r>
          </w:p>
        </w:tc>
        <w:tc>
          <w:tcPr>
            <w:tcW w:w="780" w:type="pct"/>
            <w:vMerge/>
            <w:tcBorders>
              <w:top w:val="nil"/>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p>
        </w:tc>
      </w:tr>
      <w:tr w:rsidR="00942DF6" w:rsidRPr="00235E72" w:rsidTr="000D797F">
        <w:trPr>
          <w:trHeight w:val="355"/>
          <w:jc w:val="center"/>
        </w:trPr>
        <w:tc>
          <w:tcPr>
            <w:tcW w:w="661" w:type="pct"/>
            <w:vMerge w:val="restar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100 % </w:t>
            </w: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5.203</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104.06</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w:t>
            </w:r>
            <w:r w:rsidR="00E94CEB" w:rsidRPr="00235E72">
              <w:rPr>
                <w:rFonts w:ascii="Times New Roman" w:hAnsi="Times New Roman" w:cs="Times New Roman"/>
                <w:sz w:val="18"/>
                <w:szCs w:val="18"/>
              </w:rPr>
              <w:t>02.19 ± 1.804</w:t>
            </w:r>
          </w:p>
        </w:tc>
      </w:tr>
      <w:tr w:rsidR="00942DF6" w:rsidRPr="00235E72" w:rsidTr="000D797F">
        <w:trPr>
          <w:trHeight w:val="355"/>
          <w:jc w:val="center"/>
        </w:trPr>
        <w:tc>
          <w:tcPr>
            <w:tcW w:w="661" w:type="pct"/>
            <w:vMerge/>
            <w:tcBorders>
              <w:top w:val="nil"/>
              <w:left w:val="single" w:sz="4" w:space="0" w:color="000000"/>
              <w:bottom w:val="nil"/>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5.102</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102.04</w:t>
            </w:r>
          </w:p>
        </w:tc>
        <w:tc>
          <w:tcPr>
            <w:tcW w:w="780" w:type="pct"/>
            <w:vMerge/>
            <w:tcBorders>
              <w:top w:val="nil"/>
              <w:left w:val="single" w:sz="4" w:space="0" w:color="000000"/>
              <w:bottom w:val="nil"/>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p>
        </w:tc>
      </w:tr>
      <w:tr w:rsidR="00942DF6" w:rsidRPr="00235E72" w:rsidTr="000D797F">
        <w:trPr>
          <w:trHeight w:val="355"/>
          <w:jc w:val="center"/>
        </w:trPr>
        <w:tc>
          <w:tcPr>
            <w:tcW w:w="661" w:type="pct"/>
            <w:vMerge/>
            <w:tcBorders>
              <w:top w:val="nil"/>
              <w:left w:val="single" w:sz="4" w:space="0" w:color="000000"/>
              <w:bottom w:val="single" w:sz="4" w:space="0" w:color="000000"/>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5.023</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100.46</w:t>
            </w:r>
          </w:p>
        </w:tc>
        <w:tc>
          <w:tcPr>
            <w:tcW w:w="780" w:type="pct"/>
            <w:vMerge/>
            <w:tcBorders>
              <w:top w:val="nil"/>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p>
        </w:tc>
      </w:tr>
      <w:tr w:rsidR="00942DF6" w:rsidRPr="00235E72" w:rsidTr="000D797F">
        <w:trPr>
          <w:trHeight w:val="355"/>
          <w:jc w:val="center"/>
        </w:trPr>
        <w:tc>
          <w:tcPr>
            <w:tcW w:w="661" w:type="pct"/>
            <w:vMerge w:val="restar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120 % </w:t>
            </w: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6.025</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100.42</w:t>
            </w:r>
          </w:p>
        </w:tc>
        <w:tc>
          <w:tcPr>
            <w:tcW w:w="780" w:type="pct"/>
            <w:vMerge w:val="restart"/>
            <w:tcBorders>
              <w:top w:val="single" w:sz="4" w:space="0" w:color="000000"/>
              <w:left w:val="single" w:sz="4" w:space="0" w:color="000000"/>
              <w:bottom w:val="single" w:sz="4" w:space="0" w:color="000000"/>
              <w:right w:val="single" w:sz="4" w:space="0" w:color="000000"/>
            </w:tcBorders>
            <w:vAlign w:val="center"/>
          </w:tcPr>
          <w:p w:rsidR="00E94CEB" w:rsidRPr="00235E72" w:rsidRDefault="00E94CEB" w:rsidP="00171BAB">
            <w:pPr>
              <w:jc w:val="center"/>
              <w:rPr>
                <w:rFonts w:ascii="Times New Roman" w:hAnsi="Times New Roman" w:cs="Times New Roman"/>
                <w:sz w:val="18"/>
                <w:szCs w:val="18"/>
              </w:rPr>
            </w:pPr>
            <w:r w:rsidRPr="00235E72">
              <w:rPr>
                <w:rFonts w:ascii="Times New Roman" w:hAnsi="Times New Roman" w:cs="Times New Roman"/>
                <w:sz w:val="18"/>
                <w:szCs w:val="18"/>
              </w:rPr>
              <w:t>102.01 ± 1.559</w:t>
            </w:r>
          </w:p>
        </w:tc>
      </w:tr>
      <w:tr w:rsidR="00942DF6" w:rsidRPr="00235E72" w:rsidTr="000D797F">
        <w:trPr>
          <w:trHeight w:val="360"/>
          <w:jc w:val="center"/>
        </w:trPr>
        <w:tc>
          <w:tcPr>
            <w:tcW w:w="661" w:type="pct"/>
            <w:vMerge/>
            <w:tcBorders>
              <w:top w:val="nil"/>
              <w:left w:val="single" w:sz="4" w:space="0" w:color="000000"/>
              <w:bottom w:val="nil"/>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6.212</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103.53</w:t>
            </w:r>
          </w:p>
        </w:tc>
        <w:tc>
          <w:tcPr>
            <w:tcW w:w="780" w:type="pct"/>
            <w:vMerge/>
            <w:tcBorders>
              <w:top w:val="nil"/>
              <w:left w:val="single" w:sz="4" w:space="0" w:color="000000"/>
              <w:bottom w:val="nil"/>
              <w:right w:val="single" w:sz="4" w:space="0" w:color="000000"/>
            </w:tcBorders>
          </w:tcPr>
          <w:p w:rsidR="00942DF6" w:rsidRPr="00235E72" w:rsidRDefault="00942DF6" w:rsidP="00171BAB">
            <w:pPr>
              <w:rPr>
                <w:rFonts w:ascii="Times New Roman" w:hAnsi="Times New Roman" w:cs="Times New Roman"/>
                <w:sz w:val="18"/>
                <w:szCs w:val="18"/>
              </w:rPr>
            </w:pPr>
          </w:p>
        </w:tc>
      </w:tr>
      <w:tr w:rsidR="00942DF6" w:rsidRPr="00235E72" w:rsidTr="000D797F">
        <w:trPr>
          <w:trHeight w:val="374"/>
          <w:jc w:val="center"/>
        </w:trPr>
        <w:tc>
          <w:tcPr>
            <w:tcW w:w="661" w:type="pct"/>
            <w:vMerge/>
            <w:tcBorders>
              <w:top w:val="nil"/>
              <w:left w:val="single" w:sz="4" w:space="0" w:color="000000"/>
              <w:bottom w:val="single" w:sz="4" w:space="0" w:color="000000"/>
              <w:right w:val="single" w:sz="4" w:space="0" w:color="000000"/>
            </w:tcBorders>
          </w:tcPr>
          <w:p w:rsidR="00942DF6" w:rsidRPr="00235E72" w:rsidRDefault="00942DF6" w:rsidP="00171BAB">
            <w:pPr>
              <w:rPr>
                <w:rFonts w:ascii="Times New Roman" w:hAnsi="Times New Roman" w:cs="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 xml:space="preserve">5 </w:t>
            </w:r>
          </w:p>
        </w:tc>
        <w:tc>
          <w:tcPr>
            <w:tcW w:w="835"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w:t>
            </w:r>
          </w:p>
        </w:tc>
        <w:tc>
          <w:tcPr>
            <w:tcW w:w="100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6.124</w:t>
            </w:r>
          </w:p>
        </w:tc>
        <w:tc>
          <w:tcPr>
            <w:tcW w:w="917" w:type="pct"/>
            <w:tcBorders>
              <w:top w:val="single" w:sz="4" w:space="0" w:color="000000"/>
              <w:left w:val="single" w:sz="4" w:space="0" w:color="000000"/>
              <w:bottom w:val="single" w:sz="4" w:space="0" w:color="000000"/>
              <w:right w:val="single" w:sz="4" w:space="0" w:color="000000"/>
            </w:tcBorders>
            <w:vAlign w:val="center"/>
          </w:tcPr>
          <w:p w:rsidR="00942DF6" w:rsidRPr="00235E72" w:rsidRDefault="00942DF6" w:rsidP="00171BAB">
            <w:pPr>
              <w:jc w:val="center"/>
              <w:rPr>
                <w:rFonts w:ascii="Times New Roman" w:hAnsi="Times New Roman" w:cs="Times New Roman"/>
                <w:sz w:val="18"/>
                <w:szCs w:val="18"/>
              </w:rPr>
            </w:pPr>
            <w:r w:rsidRPr="00235E72">
              <w:rPr>
                <w:rFonts w:ascii="Times New Roman" w:hAnsi="Times New Roman" w:cs="Times New Roman"/>
                <w:sz w:val="18"/>
                <w:szCs w:val="18"/>
              </w:rPr>
              <w:t>102.07</w:t>
            </w:r>
          </w:p>
        </w:tc>
        <w:tc>
          <w:tcPr>
            <w:tcW w:w="780" w:type="pct"/>
            <w:vMerge/>
            <w:tcBorders>
              <w:top w:val="nil"/>
              <w:left w:val="single" w:sz="4" w:space="0" w:color="000000"/>
              <w:bottom w:val="single" w:sz="4" w:space="0" w:color="000000"/>
              <w:right w:val="single" w:sz="4" w:space="0" w:color="000000"/>
            </w:tcBorders>
          </w:tcPr>
          <w:p w:rsidR="00942DF6" w:rsidRPr="00235E72" w:rsidRDefault="00942DF6" w:rsidP="00171BAB">
            <w:pPr>
              <w:rPr>
                <w:rFonts w:ascii="Times New Roman" w:hAnsi="Times New Roman" w:cs="Times New Roman"/>
                <w:sz w:val="18"/>
                <w:szCs w:val="18"/>
              </w:rPr>
            </w:pPr>
          </w:p>
        </w:tc>
      </w:tr>
    </w:tbl>
    <w:p w:rsidR="00CC5858" w:rsidRDefault="00CC5858" w:rsidP="008E3709">
      <w:pPr>
        <w:spacing w:after="120" w:line="240" w:lineRule="auto"/>
        <w:jc w:val="center"/>
        <w:rPr>
          <w:rFonts w:ascii="Times New Roman" w:hAnsi="Times New Roman" w:cs="Times New Roman"/>
          <w:b/>
          <w:sz w:val="18"/>
          <w:szCs w:val="18"/>
        </w:rPr>
      </w:pPr>
    </w:p>
    <w:p w:rsidR="00171BAB" w:rsidRDefault="00171BAB" w:rsidP="008E3709">
      <w:pPr>
        <w:spacing w:after="120" w:line="240" w:lineRule="auto"/>
        <w:jc w:val="center"/>
        <w:rPr>
          <w:rFonts w:ascii="Times New Roman" w:hAnsi="Times New Roman" w:cs="Times New Roman"/>
          <w:b/>
          <w:sz w:val="18"/>
          <w:szCs w:val="18"/>
        </w:rPr>
      </w:pPr>
    </w:p>
    <w:p w:rsidR="00171BAB" w:rsidRPr="00235E72" w:rsidRDefault="00171BAB" w:rsidP="008E3709">
      <w:pPr>
        <w:spacing w:after="120" w:line="240" w:lineRule="auto"/>
        <w:jc w:val="center"/>
        <w:rPr>
          <w:rFonts w:ascii="Times New Roman" w:hAnsi="Times New Roman" w:cs="Times New Roman"/>
          <w:b/>
          <w:sz w:val="18"/>
          <w:szCs w:val="18"/>
        </w:rPr>
      </w:pPr>
    </w:p>
    <w:p w:rsidR="008E7475" w:rsidRPr="00235E72" w:rsidRDefault="00427A5E" w:rsidP="008E3709">
      <w:pPr>
        <w:spacing w:after="120" w:line="240" w:lineRule="auto"/>
        <w:jc w:val="center"/>
        <w:rPr>
          <w:rFonts w:ascii="Times New Roman" w:hAnsi="Times New Roman" w:cs="Times New Roman"/>
          <w:b/>
          <w:sz w:val="18"/>
          <w:szCs w:val="18"/>
        </w:rPr>
      </w:pPr>
      <w:r w:rsidRPr="00235E72">
        <w:rPr>
          <w:rFonts w:ascii="Times New Roman" w:hAnsi="Times New Roman" w:cs="Times New Roman"/>
          <w:b/>
          <w:sz w:val="18"/>
          <w:szCs w:val="18"/>
        </w:rPr>
        <w:lastRenderedPageBreak/>
        <w:t xml:space="preserve">Table </w:t>
      </w:r>
      <w:r w:rsidR="008E7475" w:rsidRPr="00235E72">
        <w:rPr>
          <w:rFonts w:ascii="Times New Roman" w:hAnsi="Times New Roman" w:cs="Times New Roman"/>
          <w:b/>
          <w:sz w:val="18"/>
          <w:szCs w:val="18"/>
        </w:rPr>
        <w:t>5</w:t>
      </w:r>
      <w:r w:rsidR="008A1614" w:rsidRPr="00235E72">
        <w:rPr>
          <w:rFonts w:ascii="Times New Roman" w:hAnsi="Times New Roman" w:cs="Times New Roman"/>
          <w:b/>
          <w:sz w:val="18"/>
          <w:szCs w:val="18"/>
        </w:rPr>
        <w:t>: Summary</w:t>
      </w:r>
      <w:r w:rsidR="00130136" w:rsidRPr="00235E72">
        <w:rPr>
          <w:rFonts w:ascii="Times New Roman" w:hAnsi="Times New Roman" w:cs="Times New Roman"/>
          <w:b/>
          <w:sz w:val="18"/>
          <w:szCs w:val="18"/>
        </w:rPr>
        <w:t xml:space="preserve"> of Regression Characteristics and Validation Parameters</w:t>
      </w:r>
    </w:p>
    <w:tbl>
      <w:tblPr>
        <w:tblStyle w:val="TableGrid"/>
        <w:tblW w:w="4868" w:type="pct"/>
        <w:jc w:val="center"/>
        <w:tblInd w:w="0" w:type="dxa"/>
        <w:tblCellMar>
          <w:top w:w="70" w:type="dxa"/>
          <w:left w:w="149" w:type="dxa"/>
          <w:right w:w="97" w:type="dxa"/>
        </w:tblCellMar>
        <w:tblLook w:val="04A0" w:firstRow="1" w:lastRow="0" w:firstColumn="1" w:lastColumn="0" w:noHBand="0" w:noVBand="1"/>
      </w:tblPr>
      <w:tblGrid>
        <w:gridCol w:w="2681"/>
        <w:gridCol w:w="1508"/>
        <w:gridCol w:w="2081"/>
        <w:gridCol w:w="1786"/>
        <w:gridCol w:w="1733"/>
      </w:tblGrid>
      <w:tr w:rsidR="008E7475" w:rsidRPr="00235E72" w:rsidTr="000D797F">
        <w:trPr>
          <w:trHeight w:hRule="exact" w:val="340"/>
          <w:jc w:val="center"/>
        </w:trPr>
        <w:tc>
          <w:tcPr>
            <w:tcW w:w="1370" w:type="pct"/>
            <w:vMerge w:val="restar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b/>
                <w:sz w:val="18"/>
                <w:szCs w:val="18"/>
              </w:rPr>
              <w:t xml:space="preserve">Parameters </w:t>
            </w:r>
          </w:p>
          <w:p w:rsidR="008E7475" w:rsidRPr="00235E72" w:rsidRDefault="008E7475" w:rsidP="008E3709">
            <w:pPr>
              <w:spacing w:after="120"/>
              <w:jc w:val="center"/>
              <w:rPr>
                <w:rFonts w:ascii="Times New Roman" w:hAnsi="Times New Roman" w:cs="Times New Roman"/>
                <w:sz w:val="18"/>
                <w:szCs w:val="18"/>
              </w:rPr>
            </w:pPr>
          </w:p>
        </w:tc>
        <w:tc>
          <w:tcPr>
            <w:tcW w:w="1833" w:type="pct"/>
            <w:gridSpan w:val="2"/>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b/>
                <w:sz w:val="18"/>
                <w:szCs w:val="18"/>
              </w:rPr>
              <w:t xml:space="preserve">Metformin </w:t>
            </w:r>
          </w:p>
        </w:tc>
        <w:tc>
          <w:tcPr>
            <w:tcW w:w="1797" w:type="pct"/>
            <w:gridSpan w:val="2"/>
            <w:tcBorders>
              <w:top w:val="single" w:sz="4" w:space="0" w:color="000000"/>
              <w:left w:val="single" w:sz="4" w:space="0" w:color="000000"/>
              <w:bottom w:val="single" w:sz="4" w:space="0" w:color="000000"/>
              <w:right w:val="single" w:sz="4" w:space="0" w:color="000000"/>
            </w:tcBorders>
          </w:tcPr>
          <w:p w:rsidR="008E7475" w:rsidRPr="00235E72" w:rsidRDefault="00816940" w:rsidP="008E3709">
            <w:pPr>
              <w:spacing w:after="120"/>
              <w:jc w:val="center"/>
              <w:rPr>
                <w:rFonts w:ascii="Times New Roman" w:hAnsi="Times New Roman" w:cs="Times New Roman"/>
                <w:sz w:val="18"/>
                <w:szCs w:val="18"/>
              </w:rPr>
            </w:pPr>
            <w:proofErr w:type="spellStart"/>
            <w:r w:rsidRPr="00235E72">
              <w:rPr>
                <w:rFonts w:ascii="Times New Roman" w:hAnsi="Times New Roman" w:cs="Times New Roman"/>
                <w:b/>
                <w:sz w:val="18"/>
                <w:szCs w:val="18"/>
              </w:rPr>
              <w:t>Empagliflozin</w:t>
            </w:r>
            <w:proofErr w:type="spellEnd"/>
          </w:p>
        </w:tc>
      </w:tr>
      <w:tr w:rsidR="008E7475" w:rsidRPr="00235E72" w:rsidTr="000D797F">
        <w:trPr>
          <w:trHeight w:hRule="exact" w:val="340"/>
          <w:jc w:val="center"/>
        </w:trPr>
        <w:tc>
          <w:tcPr>
            <w:tcW w:w="1370" w:type="pct"/>
            <w:vMerge/>
            <w:tcBorders>
              <w:top w:val="nil"/>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574A13"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225</w:t>
            </w:r>
            <w:r w:rsidR="008E7475" w:rsidRPr="00235E72">
              <w:rPr>
                <w:rFonts w:ascii="Times New Roman" w:hAnsi="Times New Roman" w:cs="Times New Roman"/>
                <w:sz w:val="18"/>
                <w:szCs w:val="18"/>
              </w:rPr>
              <w:t xml:space="preserve"> nm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250 nm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574A13"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225</w:t>
            </w:r>
            <w:r w:rsidR="008E7475" w:rsidRPr="00235E72">
              <w:rPr>
                <w:rFonts w:ascii="Times New Roman" w:hAnsi="Times New Roman" w:cs="Times New Roman"/>
                <w:sz w:val="18"/>
                <w:szCs w:val="18"/>
              </w:rPr>
              <w:t xml:space="preserve"> nm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250 nm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Beer’s law limit (</w:t>
            </w:r>
            <w:r w:rsidR="00336AF6" w:rsidRPr="00235E72">
              <w:rPr>
                <w:rFonts w:ascii="Times New Roman" w:eastAsia="Cambria Math" w:hAnsi="Times New Roman" w:cs="Times New Roman"/>
                <w:b/>
                <w:sz w:val="18"/>
                <w:szCs w:val="18"/>
              </w:rPr>
              <w:t>µ</w:t>
            </w:r>
            <w:r w:rsidRPr="00235E72">
              <w:rPr>
                <w:rFonts w:ascii="Times New Roman" w:hAnsi="Times New Roman" w:cs="Times New Roman"/>
                <w:b/>
                <w:sz w:val="18"/>
                <w:szCs w:val="18"/>
              </w:rPr>
              <w:t xml:space="preserve">g/mL) </w:t>
            </w:r>
          </w:p>
        </w:tc>
        <w:tc>
          <w:tcPr>
            <w:tcW w:w="77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5 – 17.5 </w:t>
            </w:r>
          </w:p>
        </w:tc>
        <w:tc>
          <w:tcPr>
            <w:tcW w:w="1063"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5 – 17.5 </w:t>
            </w:r>
          </w:p>
        </w:tc>
        <w:tc>
          <w:tcPr>
            <w:tcW w:w="912"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5 – 17.5 </w:t>
            </w:r>
          </w:p>
        </w:tc>
        <w:tc>
          <w:tcPr>
            <w:tcW w:w="88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5 – 17.5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 xml:space="preserve">Absorptivity </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0.05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0.035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0.05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0.04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 xml:space="preserve">Regression equation </w:t>
            </w:r>
            <w:r w:rsidR="00336AF6" w:rsidRPr="00235E72">
              <w:rPr>
                <w:rFonts w:ascii="Times New Roman" w:hAnsi="Times New Roman" w:cs="Times New Roman"/>
                <w:b/>
                <w:sz w:val="18"/>
                <w:szCs w:val="18"/>
              </w:rPr>
              <w:t>(y = mx +c)</w:t>
            </w:r>
          </w:p>
        </w:tc>
        <w:tc>
          <w:tcPr>
            <w:tcW w:w="77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y=0.0797x -0.2418</w:t>
            </w:r>
          </w:p>
        </w:tc>
        <w:tc>
          <w:tcPr>
            <w:tcW w:w="1063"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y=0.0491x- 0.0861</w:t>
            </w:r>
          </w:p>
          <w:p w:rsidR="008E7475" w:rsidRPr="00235E72" w:rsidRDefault="008E7475" w:rsidP="008E3709">
            <w:pPr>
              <w:spacing w:after="120"/>
              <w:jc w:val="center"/>
              <w:rPr>
                <w:rFonts w:ascii="Times New Roman" w:hAnsi="Times New Roman" w:cs="Times New Roman"/>
                <w:sz w:val="18"/>
                <w:szCs w:val="18"/>
              </w:rPr>
            </w:pPr>
          </w:p>
          <w:p w:rsidR="008E7475" w:rsidRPr="00235E72" w:rsidRDefault="008E7475" w:rsidP="008E3709">
            <w:pPr>
              <w:spacing w:after="120"/>
              <w:jc w:val="center"/>
              <w:rPr>
                <w:rFonts w:ascii="Times New Roman" w:hAnsi="Times New Roman" w:cs="Times New Roman"/>
                <w:sz w:val="18"/>
                <w:szCs w:val="18"/>
              </w:rPr>
            </w:pPr>
          </w:p>
        </w:tc>
        <w:tc>
          <w:tcPr>
            <w:tcW w:w="912"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y= 0.0897x -</w:t>
            </w:r>
          </w:p>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0.3586</w:t>
            </w:r>
          </w:p>
        </w:tc>
        <w:tc>
          <w:tcPr>
            <w:tcW w:w="88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y = 0.0869x -</w:t>
            </w:r>
          </w:p>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0.3974</w:t>
            </w:r>
          </w:p>
          <w:p w:rsidR="008E7475" w:rsidRPr="00235E72" w:rsidRDefault="008E7475" w:rsidP="008E3709">
            <w:pPr>
              <w:spacing w:after="120"/>
              <w:jc w:val="center"/>
              <w:rPr>
                <w:rFonts w:ascii="Times New Roman" w:hAnsi="Times New Roman" w:cs="Times New Roman"/>
                <w:sz w:val="18"/>
                <w:szCs w:val="18"/>
              </w:rPr>
            </w:pPr>
          </w:p>
          <w:p w:rsidR="008E7475" w:rsidRPr="00235E72" w:rsidRDefault="008E7475" w:rsidP="008E3709">
            <w:pPr>
              <w:spacing w:after="120"/>
              <w:jc w:val="center"/>
              <w:rPr>
                <w:rFonts w:ascii="Times New Roman" w:hAnsi="Times New Roman" w:cs="Times New Roman"/>
                <w:sz w:val="18"/>
                <w:szCs w:val="18"/>
              </w:rPr>
            </w:pP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Slope (</w:t>
            </w:r>
            <w:r w:rsidR="00336AF6" w:rsidRPr="00235E72">
              <w:rPr>
                <w:rFonts w:ascii="Times New Roman" w:eastAsia="Cambria Math" w:hAnsi="Times New Roman" w:cs="Times New Roman"/>
                <w:sz w:val="18"/>
                <w:szCs w:val="18"/>
              </w:rPr>
              <w:t>m</w:t>
            </w:r>
            <w:r w:rsidRPr="00235E72">
              <w:rPr>
                <w:rFonts w:ascii="Times New Roman" w:hAnsi="Times New Roman" w:cs="Times New Roman"/>
                <w:b/>
                <w:sz w:val="18"/>
                <w:szCs w:val="18"/>
              </w:rPr>
              <w:t xml:space="preserve">) </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0.0797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0.0861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0.3586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0.0869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Intercept (</w:t>
            </w:r>
            <w:r w:rsidR="00336AF6" w:rsidRPr="00235E72">
              <w:rPr>
                <w:rFonts w:ascii="Times New Roman" w:eastAsia="Cambria Math" w:hAnsi="Times New Roman" w:cs="Times New Roman"/>
                <w:sz w:val="18"/>
                <w:szCs w:val="18"/>
              </w:rPr>
              <w:t>c</w:t>
            </w:r>
            <w:r w:rsidRPr="00235E72">
              <w:rPr>
                <w:rFonts w:ascii="Times New Roman" w:hAnsi="Times New Roman" w:cs="Times New Roman"/>
                <w:b/>
                <w:sz w:val="18"/>
                <w:szCs w:val="18"/>
              </w:rPr>
              <w:t xml:space="preserve">) </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0.2418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0.0491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0.0897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0.3974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Regression coefficient (</w:t>
            </w:r>
            <w:r w:rsidR="00CC5858" w:rsidRPr="00235E72">
              <w:rPr>
                <w:rFonts w:ascii="Times New Roman" w:eastAsia="Cambria Math" w:hAnsi="Times New Roman" w:cs="Times New Roman"/>
                <w:sz w:val="18"/>
                <w:szCs w:val="18"/>
              </w:rPr>
              <w:t>r</w:t>
            </w:r>
            <w:r w:rsidRPr="00235E72">
              <w:rPr>
                <w:rFonts w:ascii="Times New Roman" w:hAnsi="Times New Roman" w:cs="Times New Roman"/>
                <w:b/>
                <w:sz w:val="18"/>
                <w:szCs w:val="18"/>
                <w:vertAlign w:val="superscript"/>
              </w:rPr>
              <w:t>2</w:t>
            </w:r>
            <w:r w:rsidRPr="00235E72">
              <w:rPr>
                <w:rFonts w:ascii="Times New Roman" w:hAnsi="Times New Roman" w:cs="Times New Roman"/>
                <w:b/>
                <w:sz w:val="18"/>
                <w:szCs w:val="18"/>
              </w:rPr>
              <w:t xml:space="preserve"> )</w:t>
            </w:r>
          </w:p>
        </w:tc>
        <w:tc>
          <w:tcPr>
            <w:tcW w:w="77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w:t>
            </w:r>
            <w:r w:rsidR="00574A13" w:rsidRPr="00235E72">
              <w:rPr>
                <w:rFonts w:ascii="Times New Roman" w:hAnsi="Times New Roman" w:cs="Times New Roman"/>
                <w:sz w:val="18"/>
                <w:szCs w:val="18"/>
              </w:rPr>
              <w:t>98222</w:t>
            </w:r>
          </w:p>
        </w:tc>
        <w:tc>
          <w:tcPr>
            <w:tcW w:w="1063"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574A13"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0.9870</w:t>
            </w:r>
            <w:r w:rsidR="008E7475" w:rsidRPr="00235E72">
              <w:rPr>
                <w:rFonts w:ascii="Times New Roman" w:hAnsi="Times New Roman" w:cs="Times New Roman"/>
                <w:sz w:val="18"/>
                <w:szCs w:val="18"/>
              </w:rPr>
              <w:t xml:space="preserve">4 </w:t>
            </w:r>
          </w:p>
        </w:tc>
        <w:tc>
          <w:tcPr>
            <w:tcW w:w="912"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574A13"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0.9888</w:t>
            </w:r>
            <w:r w:rsidR="008E7475" w:rsidRPr="00235E72">
              <w:rPr>
                <w:rFonts w:ascii="Times New Roman" w:hAnsi="Times New Roman" w:cs="Times New Roman"/>
                <w:sz w:val="18"/>
                <w:szCs w:val="18"/>
              </w:rPr>
              <w:t xml:space="preserve">6 </w:t>
            </w:r>
          </w:p>
        </w:tc>
        <w:tc>
          <w:tcPr>
            <w:tcW w:w="88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574A13"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0.987</w:t>
            </w:r>
            <w:r w:rsidR="008E7475" w:rsidRPr="00235E72">
              <w:rPr>
                <w:rFonts w:ascii="Times New Roman" w:hAnsi="Times New Roman" w:cs="Times New Roman"/>
                <w:sz w:val="18"/>
                <w:szCs w:val="18"/>
              </w:rPr>
              <w:t xml:space="preserve">27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SD</w:t>
            </w:r>
            <w:r w:rsidR="00CC5858" w:rsidRPr="00235E72">
              <w:rPr>
                <w:rFonts w:ascii="Times New Roman" w:hAnsi="Times New Roman" w:cs="Times New Roman"/>
                <w:b/>
                <w:sz w:val="18"/>
                <w:szCs w:val="18"/>
              </w:rPr>
              <w:t xml:space="preserve"> of slope</w:t>
            </w:r>
            <w:r w:rsidRPr="00235E72">
              <w:rPr>
                <w:rFonts w:ascii="Times New Roman" w:hAnsi="Times New Roman" w:cs="Times New Roman"/>
                <w:b/>
                <w:sz w:val="18"/>
                <w:szCs w:val="18"/>
              </w:rPr>
              <w:t xml:space="preserve">) </w:t>
            </w:r>
          </w:p>
        </w:tc>
        <w:tc>
          <w:tcPr>
            <w:tcW w:w="770"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0.017 </w:t>
            </w:r>
          </w:p>
        </w:tc>
        <w:tc>
          <w:tcPr>
            <w:tcW w:w="1063"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0.031 </w:t>
            </w:r>
          </w:p>
        </w:tc>
        <w:tc>
          <w:tcPr>
            <w:tcW w:w="912"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0.043 </w:t>
            </w:r>
          </w:p>
        </w:tc>
        <w:tc>
          <w:tcPr>
            <w:tcW w:w="884" w:type="pct"/>
            <w:tcBorders>
              <w:top w:val="single" w:sz="4" w:space="0" w:color="000000"/>
              <w:left w:val="single" w:sz="4" w:space="0" w:color="000000"/>
              <w:bottom w:val="single" w:sz="4" w:space="0" w:color="000000"/>
              <w:right w:val="single" w:sz="4" w:space="0" w:color="000000"/>
            </w:tcBorders>
            <w:vAlign w:val="center"/>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0.043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 xml:space="preserve">LOD </w:t>
            </w:r>
            <w:r w:rsidR="00336AF6" w:rsidRPr="00235E72">
              <w:rPr>
                <w:rFonts w:ascii="Times New Roman" w:hAnsi="Times New Roman" w:cs="Times New Roman"/>
                <w:b/>
                <w:sz w:val="18"/>
                <w:szCs w:val="18"/>
              </w:rPr>
              <w:t>(</w:t>
            </w:r>
            <w:r w:rsidR="00336AF6" w:rsidRPr="00235E72">
              <w:rPr>
                <w:rFonts w:ascii="Times New Roman" w:eastAsia="Cambria Math" w:hAnsi="Times New Roman" w:cs="Times New Roman"/>
                <w:b/>
                <w:sz w:val="18"/>
                <w:szCs w:val="18"/>
              </w:rPr>
              <w:t>µ</w:t>
            </w:r>
            <w:r w:rsidR="00336AF6" w:rsidRPr="00235E72">
              <w:rPr>
                <w:rFonts w:ascii="Times New Roman" w:hAnsi="Times New Roman" w:cs="Times New Roman"/>
                <w:b/>
                <w:sz w:val="18"/>
                <w:szCs w:val="18"/>
              </w:rPr>
              <w:t>g/mL</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0.747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1.567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1.581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1.581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r w:rsidRPr="00235E72">
              <w:rPr>
                <w:rFonts w:ascii="Times New Roman" w:hAnsi="Times New Roman" w:cs="Times New Roman"/>
                <w:b/>
                <w:sz w:val="18"/>
                <w:szCs w:val="18"/>
              </w:rPr>
              <w:t xml:space="preserve">LOQ </w:t>
            </w:r>
            <w:r w:rsidR="00336AF6" w:rsidRPr="00235E72">
              <w:rPr>
                <w:rFonts w:ascii="Times New Roman" w:hAnsi="Times New Roman" w:cs="Times New Roman"/>
                <w:b/>
                <w:sz w:val="18"/>
                <w:szCs w:val="18"/>
              </w:rPr>
              <w:t>(</w:t>
            </w:r>
            <w:r w:rsidR="00336AF6" w:rsidRPr="00235E72">
              <w:rPr>
                <w:rFonts w:ascii="Times New Roman" w:eastAsia="Cambria Math" w:hAnsi="Times New Roman" w:cs="Times New Roman"/>
                <w:b/>
                <w:sz w:val="18"/>
                <w:szCs w:val="18"/>
              </w:rPr>
              <w:t>µ</w:t>
            </w:r>
            <w:r w:rsidR="00336AF6" w:rsidRPr="00235E72">
              <w:rPr>
                <w:rFonts w:ascii="Times New Roman" w:hAnsi="Times New Roman" w:cs="Times New Roman"/>
                <w:b/>
                <w:sz w:val="18"/>
                <w:szCs w:val="18"/>
              </w:rPr>
              <w:t>g/mL)</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2.265 </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4.748 </w:t>
            </w: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4.791 </w:t>
            </w: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4.791 </w:t>
            </w:r>
          </w:p>
        </w:tc>
      </w:tr>
      <w:tr w:rsidR="008E7475" w:rsidRPr="00235E72" w:rsidTr="000D797F">
        <w:trPr>
          <w:trHeight w:hRule="exact" w:val="340"/>
          <w:jc w:val="center"/>
        </w:trPr>
        <w:tc>
          <w:tcPr>
            <w:tcW w:w="1370"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rPr>
                <w:rFonts w:ascii="Times New Roman" w:hAnsi="Times New Roman" w:cs="Times New Roman"/>
                <w:sz w:val="18"/>
                <w:szCs w:val="18"/>
              </w:rPr>
            </w:pPr>
            <w:proofErr w:type="spellStart"/>
            <w:r w:rsidRPr="00235E72">
              <w:rPr>
                <w:rFonts w:ascii="Times New Roman" w:hAnsi="Times New Roman" w:cs="Times New Roman"/>
                <w:b/>
                <w:sz w:val="18"/>
                <w:szCs w:val="18"/>
              </w:rPr>
              <w:t>Sandell’s</w:t>
            </w:r>
            <w:proofErr w:type="spellEnd"/>
            <w:r w:rsidRPr="00235E72">
              <w:rPr>
                <w:rFonts w:ascii="Times New Roman" w:hAnsi="Times New Roman" w:cs="Times New Roman"/>
                <w:b/>
                <w:sz w:val="18"/>
                <w:szCs w:val="18"/>
              </w:rPr>
              <w:t xml:space="preserve"> </w:t>
            </w:r>
            <w:r w:rsidR="00AF0306" w:rsidRPr="00235E72">
              <w:rPr>
                <w:rFonts w:ascii="Times New Roman" w:hAnsi="Times New Roman" w:cs="Times New Roman"/>
                <w:b/>
                <w:sz w:val="18"/>
                <w:szCs w:val="18"/>
              </w:rPr>
              <w:t>s</w:t>
            </w:r>
            <w:r w:rsidRPr="00235E72">
              <w:rPr>
                <w:rFonts w:ascii="Times New Roman" w:hAnsi="Times New Roman" w:cs="Times New Roman"/>
                <w:b/>
                <w:sz w:val="18"/>
                <w:szCs w:val="18"/>
              </w:rPr>
              <w:t>ensitivity (</w:t>
            </w:r>
            <w:r w:rsidR="00AF0306" w:rsidRPr="00235E72">
              <w:rPr>
                <w:rFonts w:ascii="Times New Roman" w:eastAsia="Cambria Math" w:hAnsi="Times New Roman" w:cs="Times New Roman"/>
                <w:b/>
                <w:sz w:val="18"/>
                <w:szCs w:val="18"/>
              </w:rPr>
              <w:t>µ</w:t>
            </w:r>
            <w:r w:rsidRPr="00235E72">
              <w:rPr>
                <w:rFonts w:ascii="Times New Roman" w:hAnsi="Times New Roman" w:cs="Times New Roman"/>
                <w:b/>
                <w:sz w:val="18"/>
                <w:szCs w:val="18"/>
              </w:rPr>
              <w:t>g/cm</w:t>
            </w:r>
            <w:r w:rsidRPr="00235E72">
              <w:rPr>
                <w:rFonts w:ascii="Times New Roman" w:hAnsi="Times New Roman" w:cs="Times New Roman"/>
                <w:b/>
                <w:sz w:val="18"/>
                <w:szCs w:val="18"/>
                <w:vertAlign w:val="superscript"/>
              </w:rPr>
              <w:t>2</w:t>
            </w:r>
            <w:r w:rsidRPr="00235E72">
              <w:rPr>
                <w:rFonts w:ascii="Times New Roman" w:hAnsi="Times New Roman" w:cs="Times New Roman"/>
                <w:b/>
                <w:sz w:val="18"/>
                <w:szCs w:val="18"/>
              </w:rPr>
              <w:t xml:space="preserve">) </w:t>
            </w:r>
          </w:p>
        </w:tc>
        <w:tc>
          <w:tcPr>
            <w:tcW w:w="770" w:type="pct"/>
            <w:tcBorders>
              <w:top w:val="single" w:sz="4" w:space="0" w:color="000000"/>
              <w:left w:val="single" w:sz="4" w:space="0" w:color="000000"/>
              <w:bottom w:val="single" w:sz="4" w:space="0" w:color="000000"/>
              <w:right w:val="single" w:sz="4" w:space="0" w:color="000000"/>
            </w:tcBorders>
          </w:tcPr>
          <w:p w:rsidR="008E7475" w:rsidRPr="00235E72" w:rsidRDefault="00CC5858"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0.0356</w:t>
            </w:r>
          </w:p>
        </w:tc>
        <w:tc>
          <w:tcPr>
            <w:tcW w:w="1063"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0.0347 </w:t>
            </w:r>
          </w:p>
          <w:p w:rsidR="008E7475" w:rsidRPr="00235E72" w:rsidRDefault="008E7475" w:rsidP="008E3709">
            <w:pPr>
              <w:spacing w:after="120"/>
              <w:jc w:val="center"/>
              <w:rPr>
                <w:rFonts w:ascii="Times New Roman" w:hAnsi="Times New Roman" w:cs="Times New Roman"/>
                <w:sz w:val="18"/>
                <w:szCs w:val="18"/>
              </w:rPr>
            </w:pPr>
          </w:p>
        </w:tc>
        <w:tc>
          <w:tcPr>
            <w:tcW w:w="912"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0.0229 </w:t>
            </w:r>
          </w:p>
          <w:p w:rsidR="008E7475" w:rsidRPr="00235E72" w:rsidRDefault="008E7475" w:rsidP="008E3709">
            <w:pPr>
              <w:spacing w:after="120"/>
              <w:jc w:val="center"/>
              <w:rPr>
                <w:rFonts w:ascii="Times New Roman" w:hAnsi="Times New Roman" w:cs="Times New Roman"/>
                <w:sz w:val="18"/>
                <w:szCs w:val="18"/>
              </w:rPr>
            </w:pPr>
          </w:p>
        </w:tc>
        <w:tc>
          <w:tcPr>
            <w:tcW w:w="884" w:type="pct"/>
            <w:tcBorders>
              <w:top w:val="single" w:sz="4" w:space="0" w:color="000000"/>
              <w:left w:val="single" w:sz="4" w:space="0" w:color="000000"/>
              <w:bottom w:val="single" w:sz="4" w:space="0" w:color="000000"/>
              <w:right w:val="single" w:sz="4" w:space="0" w:color="000000"/>
            </w:tcBorders>
          </w:tcPr>
          <w:p w:rsidR="008E7475" w:rsidRPr="00235E72" w:rsidRDefault="008E7475" w:rsidP="008E3709">
            <w:pPr>
              <w:spacing w:after="120"/>
              <w:jc w:val="center"/>
              <w:rPr>
                <w:rFonts w:ascii="Times New Roman" w:hAnsi="Times New Roman" w:cs="Times New Roman"/>
                <w:sz w:val="18"/>
                <w:szCs w:val="18"/>
              </w:rPr>
            </w:pPr>
            <w:r w:rsidRPr="00235E72">
              <w:rPr>
                <w:rFonts w:ascii="Times New Roman" w:hAnsi="Times New Roman" w:cs="Times New Roman"/>
                <w:sz w:val="18"/>
                <w:szCs w:val="18"/>
              </w:rPr>
              <w:t xml:space="preserve">0.0348 </w:t>
            </w:r>
          </w:p>
          <w:p w:rsidR="008E7475" w:rsidRPr="00235E72" w:rsidRDefault="008E7475" w:rsidP="008E3709">
            <w:pPr>
              <w:spacing w:after="120"/>
              <w:jc w:val="center"/>
              <w:rPr>
                <w:rFonts w:ascii="Times New Roman" w:hAnsi="Times New Roman" w:cs="Times New Roman"/>
                <w:sz w:val="18"/>
                <w:szCs w:val="18"/>
              </w:rPr>
            </w:pPr>
          </w:p>
        </w:tc>
      </w:tr>
    </w:tbl>
    <w:p w:rsidR="001C1733" w:rsidRPr="00235E72" w:rsidRDefault="001C1733" w:rsidP="008E3709">
      <w:pPr>
        <w:autoSpaceDE w:val="0"/>
        <w:autoSpaceDN w:val="0"/>
        <w:adjustRightInd w:val="0"/>
        <w:spacing w:after="120" w:line="240" w:lineRule="auto"/>
        <w:jc w:val="both"/>
        <w:rPr>
          <w:rFonts w:ascii="Times New Roman" w:hAnsi="Times New Roman" w:cs="Times New Roman"/>
          <w:b/>
          <w:bCs/>
          <w:sz w:val="18"/>
          <w:szCs w:val="18"/>
        </w:rPr>
      </w:pPr>
    </w:p>
    <w:p w:rsidR="00171BAB" w:rsidRDefault="00171BAB" w:rsidP="008E3709">
      <w:pPr>
        <w:pStyle w:val="Heading2"/>
        <w:spacing w:after="120" w:line="240" w:lineRule="auto"/>
        <w:ind w:left="0"/>
        <w:jc w:val="both"/>
        <w:rPr>
          <w:color w:val="0070C0"/>
          <w:sz w:val="22"/>
          <w:szCs w:val="18"/>
        </w:rPr>
        <w:sectPr w:rsidR="00171BAB" w:rsidSect="00171BAB">
          <w:type w:val="continuous"/>
          <w:pgSz w:w="11906" w:h="16838" w:code="9"/>
          <w:pgMar w:top="1107" w:right="964" w:bottom="964" w:left="1134" w:header="709" w:footer="709" w:gutter="0"/>
          <w:pgNumType w:start="16"/>
          <w:cols w:space="708"/>
          <w:docGrid w:linePitch="360"/>
        </w:sectPr>
      </w:pPr>
    </w:p>
    <w:p w:rsidR="001C1733" w:rsidRPr="00235E72" w:rsidRDefault="00F9175A" w:rsidP="008E3709">
      <w:pPr>
        <w:pStyle w:val="Heading2"/>
        <w:spacing w:after="120" w:line="240" w:lineRule="auto"/>
        <w:ind w:left="0"/>
        <w:jc w:val="both"/>
        <w:rPr>
          <w:color w:val="0070C0"/>
          <w:sz w:val="22"/>
          <w:szCs w:val="18"/>
        </w:rPr>
      </w:pPr>
      <w:r w:rsidRPr="00235E72">
        <w:rPr>
          <w:color w:val="0070C0"/>
          <w:sz w:val="22"/>
          <w:szCs w:val="18"/>
        </w:rPr>
        <w:lastRenderedPageBreak/>
        <w:t>CONCL</w:t>
      </w:r>
      <w:r w:rsidR="004D72BB" w:rsidRPr="00235E72">
        <w:rPr>
          <w:color w:val="0070C0"/>
          <w:sz w:val="22"/>
          <w:szCs w:val="18"/>
        </w:rPr>
        <w:t xml:space="preserve">USION: </w:t>
      </w:r>
    </w:p>
    <w:p w:rsidR="004D72BB" w:rsidRPr="00235E72" w:rsidRDefault="001C1733"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The UV spectrophotometric Q-absorption ratio method was developed and validated for the simultaneous analysis of Metformin and </w:t>
      </w:r>
      <w:proofErr w:type="spellStart"/>
      <w:r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The results together established that the method is simple, accurate, precise, reproducible, rapid, and sensitive. The method can be applied successfully and economically for the simultaneous estimation of Metformin and </w:t>
      </w:r>
      <w:proofErr w:type="spellStart"/>
      <w:r w:rsidRPr="00235E72">
        <w:rPr>
          <w:rFonts w:ascii="Times New Roman" w:hAnsi="Times New Roman" w:cs="Times New Roman"/>
          <w:sz w:val="18"/>
          <w:szCs w:val="18"/>
        </w:rPr>
        <w:t>Empagliflozin</w:t>
      </w:r>
      <w:proofErr w:type="spellEnd"/>
      <w:r w:rsidRPr="00235E72">
        <w:rPr>
          <w:rFonts w:ascii="Times New Roman" w:hAnsi="Times New Roman" w:cs="Times New Roman"/>
          <w:sz w:val="18"/>
          <w:szCs w:val="18"/>
        </w:rPr>
        <w:t xml:space="preserve"> in bulk and in the synthetic laboratory mixture and also for the quantitation of generic equivalents in pharmaceutical industries. </w:t>
      </w:r>
    </w:p>
    <w:p w:rsidR="004D72BB" w:rsidRPr="00235E72" w:rsidRDefault="004D72BB" w:rsidP="008E3709">
      <w:pPr>
        <w:spacing w:after="120" w:line="240" w:lineRule="auto"/>
        <w:jc w:val="both"/>
        <w:rPr>
          <w:rFonts w:ascii="Times New Roman" w:hAnsi="Times New Roman" w:cs="Times New Roman"/>
          <w:color w:val="0070C0"/>
          <w:szCs w:val="18"/>
        </w:rPr>
      </w:pPr>
      <w:r w:rsidRPr="00235E72">
        <w:rPr>
          <w:rFonts w:ascii="Times New Roman" w:hAnsi="Times New Roman" w:cs="Times New Roman"/>
          <w:b/>
          <w:color w:val="0070C0"/>
          <w:szCs w:val="18"/>
        </w:rPr>
        <w:t>ACKNOWLEDGEMENTS</w:t>
      </w:r>
      <w:r w:rsidRPr="00235E72">
        <w:rPr>
          <w:rFonts w:ascii="Times New Roman" w:hAnsi="Times New Roman" w:cs="Times New Roman"/>
          <w:color w:val="0070C0"/>
          <w:szCs w:val="18"/>
        </w:rPr>
        <w:t>:</w:t>
      </w:r>
    </w:p>
    <w:p w:rsidR="004D72BB" w:rsidRPr="00235E72" w:rsidRDefault="004D72BB" w:rsidP="008E3709">
      <w:pPr>
        <w:spacing w:after="120" w:line="240" w:lineRule="auto"/>
        <w:jc w:val="both"/>
        <w:rPr>
          <w:rFonts w:ascii="Times New Roman" w:hAnsi="Times New Roman" w:cs="Times New Roman"/>
          <w:sz w:val="18"/>
          <w:szCs w:val="18"/>
        </w:rPr>
      </w:pPr>
      <w:r w:rsidRPr="00235E72">
        <w:rPr>
          <w:rFonts w:ascii="Times New Roman" w:hAnsi="Times New Roman" w:cs="Times New Roman"/>
          <w:sz w:val="18"/>
          <w:szCs w:val="18"/>
        </w:rPr>
        <w:t xml:space="preserve">The authors wish to thank the management of </w:t>
      </w:r>
      <w:proofErr w:type="spellStart"/>
      <w:r w:rsidRPr="00235E72">
        <w:rPr>
          <w:rFonts w:ascii="Times New Roman" w:hAnsi="Times New Roman" w:cs="Times New Roman"/>
          <w:sz w:val="18"/>
          <w:szCs w:val="18"/>
        </w:rPr>
        <w:t>Sai</w:t>
      </w:r>
      <w:proofErr w:type="spellEnd"/>
      <w:r w:rsidRPr="00235E72">
        <w:rPr>
          <w:rFonts w:ascii="Times New Roman" w:hAnsi="Times New Roman" w:cs="Times New Roman"/>
          <w:sz w:val="18"/>
          <w:szCs w:val="18"/>
        </w:rPr>
        <w:t xml:space="preserve"> Laboratories Limited for supporting this work. Authors wish to acknowledge the Analytical research group for providing the necessary facilities for our research and also wish to thanks colleagues in Validation division of analytical research for their co-operation in carrying out this work.</w:t>
      </w:r>
    </w:p>
    <w:p w:rsidR="004D72BB" w:rsidRPr="00235E72" w:rsidRDefault="004D72BB" w:rsidP="000D797F">
      <w:pPr>
        <w:spacing w:after="120" w:line="240" w:lineRule="auto"/>
        <w:jc w:val="both"/>
        <w:rPr>
          <w:rFonts w:ascii="Times New Roman" w:hAnsi="Times New Roman" w:cs="Times New Roman"/>
          <w:b/>
          <w:color w:val="0070C0"/>
          <w:szCs w:val="18"/>
        </w:rPr>
      </w:pPr>
      <w:r w:rsidRPr="00235E72">
        <w:rPr>
          <w:rFonts w:ascii="Times New Roman" w:hAnsi="Times New Roman" w:cs="Times New Roman"/>
          <w:b/>
          <w:color w:val="0070C0"/>
          <w:szCs w:val="18"/>
        </w:rPr>
        <w:t xml:space="preserve">LIST OFABBREVIATIONS: </w:t>
      </w:r>
    </w:p>
    <w:tbl>
      <w:tblPr>
        <w:tblStyle w:val="TableGrid0"/>
        <w:tblW w:w="4745" w:type="pct"/>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3398"/>
      </w:tblGrid>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No.</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Number</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NA</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Not Applicable</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BLQ</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Below limit of Quantification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LOQ</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Limit of Quantitation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SD</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Standard Deviation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RSD</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Relative Standard Deviation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LOD</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Limit of Detection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Imp</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Impurity</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proofErr w:type="spellStart"/>
            <w:r w:rsidRPr="00235E72">
              <w:rPr>
                <w:sz w:val="18"/>
                <w:szCs w:val="18"/>
              </w:rPr>
              <w:t>Unk</w:t>
            </w:r>
            <w:proofErr w:type="spellEnd"/>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Unknown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Max</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Maximum</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proofErr w:type="spellStart"/>
            <w:r w:rsidRPr="00235E72">
              <w:rPr>
                <w:sz w:val="18"/>
                <w:szCs w:val="18"/>
              </w:rPr>
              <w:t>Hrs</w:t>
            </w:r>
            <w:proofErr w:type="spellEnd"/>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Hours</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HPLC</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High performance Liquid Chromatography</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lastRenderedPageBreak/>
              <w:t>RSD</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Relative Standard Deviation</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RRT</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Relative retention time</w:t>
            </w:r>
          </w:p>
        </w:tc>
      </w:tr>
      <w:tr w:rsidR="004D72BB" w:rsidRPr="00235E72" w:rsidTr="00171BAB">
        <w:trPr>
          <w:jc w:val="center"/>
        </w:trPr>
        <w:tc>
          <w:tcPr>
            <w:tcW w:w="1342" w:type="pct"/>
          </w:tcPr>
          <w:p w:rsidR="004D72BB" w:rsidRPr="00235E72" w:rsidRDefault="004D72BB" w:rsidP="008E3709">
            <w:pPr>
              <w:tabs>
                <w:tab w:val="left" w:pos="0"/>
              </w:tabs>
              <w:spacing w:after="120"/>
              <w:jc w:val="both"/>
              <w:rPr>
                <w:sz w:val="18"/>
                <w:szCs w:val="18"/>
              </w:rPr>
            </w:pPr>
            <w:r w:rsidRPr="00235E72">
              <w:rPr>
                <w:sz w:val="18"/>
                <w:szCs w:val="18"/>
              </w:rPr>
              <w:t>S/N</w:t>
            </w:r>
          </w:p>
        </w:tc>
        <w:tc>
          <w:tcPr>
            <w:tcW w:w="3658" w:type="pct"/>
          </w:tcPr>
          <w:p w:rsidR="004D72BB" w:rsidRPr="00235E72" w:rsidRDefault="004D72BB" w:rsidP="008E3709">
            <w:pPr>
              <w:tabs>
                <w:tab w:val="left" w:pos="0"/>
              </w:tabs>
              <w:spacing w:after="120"/>
              <w:jc w:val="both"/>
              <w:rPr>
                <w:sz w:val="18"/>
                <w:szCs w:val="18"/>
              </w:rPr>
            </w:pPr>
            <w:r w:rsidRPr="00235E72">
              <w:rPr>
                <w:sz w:val="18"/>
                <w:szCs w:val="18"/>
              </w:rPr>
              <w:t xml:space="preserve">Signal to Ratio </w:t>
            </w:r>
          </w:p>
        </w:tc>
      </w:tr>
    </w:tbl>
    <w:p w:rsidR="001C1733" w:rsidRPr="00235E72" w:rsidRDefault="009B760E" w:rsidP="008E3709">
      <w:pPr>
        <w:spacing w:after="120" w:line="240" w:lineRule="auto"/>
        <w:rPr>
          <w:rFonts w:ascii="Times New Roman" w:hAnsi="Times New Roman" w:cs="Times New Roman"/>
          <w:b/>
          <w:bCs/>
          <w:color w:val="0070C0"/>
          <w:szCs w:val="18"/>
        </w:rPr>
      </w:pPr>
      <w:r w:rsidRPr="00235E72">
        <w:rPr>
          <w:rFonts w:ascii="Times New Roman" w:hAnsi="Times New Roman" w:cs="Times New Roman"/>
          <w:b/>
          <w:bCs/>
          <w:color w:val="0070C0"/>
          <w:szCs w:val="18"/>
        </w:rPr>
        <w:t>REFERENCES:</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Hasunuma</w:t>
      </w:r>
      <w:proofErr w:type="spellEnd"/>
      <w:r w:rsidRPr="00235E72">
        <w:rPr>
          <w:rFonts w:ascii="Times New Roman" w:hAnsi="Times New Roman" w:cs="Times New Roman"/>
          <w:sz w:val="16"/>
          <w:szCs w:val="18"/>
        </w:rPr>
        <w:t xml:space="preserve"> Y, Matsuura E, Makita Z, </w:t>
      </w:r>
      <w:proofErr w:type="spellStart"/>
      <w:r w:rsidRPr="00235E72">
        <w:rPr>
          <w:rFonts w:ascii="Times New Roman" w:hAnsi="Times New Roman" w:cs="Times New Roman"/>
          <w:sz w:val="16"/>
          <w:szCs w:val="18"/>
        </w:rPr>
        <w:t>Katahira</w:t>
      </w:r>
      <w:proofErr w:type="spellEnd"/>
      <w:r w:rsidRPr="00235E72">
        <w:rPr>
          <w:rFonts w:ascii="Times New Roman" w:hAnsi="Times New Roman" w:cs="Times New Roman"/>
          <w:sz w:val="16"/>
          <w:szCs w:val="18"/>
        </w:rPr>
        <w:t xml:space="preserve"> T, Nishi S, Koike T. Involvement of b2-glycoprotein I and anti-</w:t>
      </w:r>
      <w:proofErr w:type="spellStart"/>
      <w:r w:rsidRPr="00235E72">
        <w:rPr>
          <w:rFonts w:ascii="Times New Roman" w:hAnsi="Times New Roman" w:cs="Times New Roman"/>
          <w:sz w:val="16"/>
          <w:szCs w:val="18"/>
        </w:rPr>
        <w:t>cardiolipin</w:t>
      </w:r>
      <w:proofErr w:type="spellEnd"/>
      <w:r w:rsidRPr="00235E72">
        <w:rPr>
          <w:rFonts w:ascii="Times New Roman" w:hAnsi="Times New Roman" w:cs="Times New Roman"/>
          <w:sz w:val="16"/>
          <w:szCs w:val="18"/>
        </w:rPr>
        <w:t xml:space="preserve"> antibodies in </w:t>
      </w:r>
      <w:proofErr w:type="spellStart"/>
      <w:r w:rsidRPr="00235E72">
        <w:rPr>
          <w:rFonts w:ascii="Times New Roman" w:hAnsi="Times New Roman" w:cs="Times New Roman"/>
          <w:sz w:val="16"/>
          <w:szCs w:val="18"/>
        </w:rPr>
        <w:t>oxidatively</w:t>
      </w:r>
      <w:proofErr w:type="spellEnd"/>
      <w:r w:rsidRPr="00235E72">
        <w:rPr>
          <w:rFonts w:ascii="Times New Roman" w:hAnsi="Times New Roman" w:cs="Times New Roman"/>
          <w:sz w:val="16"/>
          <w:szCs w:val="18"/>
        </w:rPr>
        <w:t xml:space="preserve"> modified low-density lipoprotein uptake by macrophages. </w:t>
      </w:r>
      <w:proofErr w:type="spellStart"/>
      <w:r w:rsidRPr="00235E72">
        <w:rPr>
          <w:rFonts w:ascii="Times New Roman" w:hAnsi="Times New Roman" w:cs="Times New Roman"/>
          <w:sz w:val="16"/>
          <w:szCs w:val="18"/>
        </w:rPr>
        <w:t>Clin</w:t>
      </w:r>
      <w:proofErr w:type="spellEnd"/>
      <w:r w:rsidRPr="00235E72">
        <w:rPr>
          <w:rFonts w:ascii="Times New Roman" w:hAnsi="Times New Roman" w:cs="Times New Roman"/>
          <w:sz w:val="16"/>
          <w:szCs w:val="18"/>
        </w:rPr>
        <w:t xml:space="preserve"> </w:t>
      </w:r>
      <w:proofErr w:type="spellStart"/>
      <w:r w:rsidRPr="00235E72">
        <w:rPr>
          <w:rFonts w:ascii="Times New Roman" w:hAnsi="Times New Roman" w:cs="Times New Roman"/>
          <w:sz w:val="16"/>
          <w:szCs w:val="18"/>
        </w:rPr>
        <w:t>Exp</w:t>
      </w:r>
      <w:proofErr w:type="spellEnd"/>
      <w:r w:rsidRPr="00235E72">
        <w:rPr>
          <w:rFonts w:ascii="Times New Roman" w:hAnsi="Times New Roman" w:cs="Times New Roman"/>
          <w:sz w:val="16"/>
          <w:szCs w:val="18"/>
        </w:rPr>
        <w:t xml:space="preserve"> </w:t>
      </w:r>
      <w:proofErr w:type="spellStart"/>
      <w:r w:rsidRPr="00235E72">
        <w:rPr>
          <w:rFonts w:ascii="Times New Roman" w:hAnsi="Times New Roman" w:cs="Times New Roman"/>
          <w:sz w:val="16"/>
          <w:szCs w:val="18"/>
        </w:rPr>
        <w:t>Immunol</w:t>
      </w:r>
      <w:proofErr w:type="spellEnd"/>
      <w:r w:rsidRPr="00235E72">
        <w:rPr>
          <w:rFonts w:ascii="Times New Roman" w:hAnsi="Times New Roman" w:cs="Times New Roman"/>
          <w:sz w:val="16"/>
          <w:szCs w:val="18"/>
        </w:rPr>
        <w:t xml:space="preserve"> 1997; 107:569-73.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Dhaliya</w:t>
      </w:r>
      <w:proofErr w:type="spellEnd"/>
      <w:r w:rsidRPr="00235E72">
        <w:rPr>
          <w:rFonts w:ascii="Times New Roman" w:hAnsi="Times New Roman" w:cs="Times New Roman"/>
          <w:sz w:val="16"/>
          <w:szCs w:val="18"/>
        </w:rPr>
        <w:t xml:space="preserve"> SA, Surya AS, Dawn VT, Betty C, </w:t>
      </w:r>
      <w:proofErr w:type="spellStart"/>
      <w:r w:rsidRPr="00235E72">
        <w:rPr>
          <w:rFonts w:ascii="Times New Roman" w:hAnsi="Times New Roman" w:cs="Times New Roman"/>
          <w:sz w:val="16"/>
          <w:szCs w:val="18"/>
        </w:rPr>
        <w:t>Arun</w:t>
      </w:r>
      <w:proofErr w:type="spellEnd"/>
      <w:r w:rsidRPr="00235E72">
        <w:rPr>
          <w:rFonts w:ascii="Times New Roman" w:hAnsi="Times New Roman" w:cs="Times New Roman"/>
          <w:sz w:val="16"/>
          <w:szCs w:val="18"/>
        </w:rPr>
        <w:t xml:space="preserve"> K, Sunil C. A review of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 and medicinal plants. IJAPS BMS 2013; 2:219-37.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r w:rsidRPr="00235E72">
        <w:rPr>
          <w:rFonts w:ascii="Times New Roman" w:hAnsi="Times New Roman" w:cs="Times New Roman"/>
          <w:sz w:val="16"/>
          <w:szCs w:val="18"/>
        </w:rPr>
        <w:t xml:space="preserve">Lipinski CA, Lombardo F, </w:t>
      </w:r>
      <w:proofErr w:type="spellStart"/>
      <w:r w:rsidRPr="00235E72">
        <w:rPr>
          <w:rFonts w:ascii="Times New Roman" w:hAnsi="Times New Roman" w:cs="Times New Roman"/>
          <w:sz w:val="16"/>
          <w:szCs w:val="18"/>
        </w:rPr>
        <w:t>Dominy</w:t>
      </w:r>
      <w:proofErr w:type="spellEnd"/>
      <w:r w:rsidRPr="00235E72">
        <w:rPr>
          <w:rFonts w:ascii="Times New Roman" w:hAnsi="Times New Roman" w:cs="Times New Roman"/>
          <w:sz w:val="16"/>
          <w:szCs w:val="18"/>
        </w:rPr>
        <w:t xml:space="preserve"> BW, Feeney PJ. Experimental and computational approaches to estimate solubility and permeability in drug discovery and development settings. </w:t>
      </w:r>
      <w:proofErr w:type="spellStart"/>
      <w:r w:rsidRPr="00235E72">
        <w:rPr>
          <w:rFonts w:ascii="Times New Roman" w:hAnsi="Times New Roman" w:cs="Times New Roman"/>
          <w:sz w:val="16"/>
          <w:szCs w:val="18"/>
        </w:rPr>
        <w:t>Adv</w:t>
      </w:r>
      <w:proofErr w:type="spellEnd"/>
      <w:r w:rsidRPr="00235E72">
        <w:rPr>
          <w:rFonts w:ascii="Times New Roman" w:hAnsi="Times New Roman" w:cs="Times New Roman"/>
          <w:sz w:val="16"/>
          <w:szCs w:val="18"/>
        </w:rPr>
        <w:t xml:space="preserve"> Drug Delivery Rev 1997; 23:3-25.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Shelke</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Shahi</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Jadhav</w:t>
      </w:r>
      <w:proofErr w:type="spellEnd"/>
      <w:r w:rsidRPr="00235E72">
        <w:rPr>
          <w:rFonts w:ascii="Times New Roman" w:hAnsi="Times New Roman" w:cs="Times New Roman"/>
          <w:sz w:val="16"/>
          <w:szCs w:val="18"/>
        </w:rPr>
        <w:t xml:space="preserve"> K, </w:t>
      </w:r>
      <w:proofErr w:type="spellStart"/>
      <w:r w:rsidRPr="00235E72">
        <w:rPr>
          <w:rFonts w:ascii="Times New Roman" w:hAnsi="Times New Roman" w:cs="Times New Roman"/>
          <w:sz w:val="16"/>
          <w:szCs w:val="18"/>
        </w:rPr>
        <w:t>Dhamecha</w:t>
      </w:r>
      <w:proofErr w:type="spellEnd"/>
      <w:r w:rsidRPr="00235E72">
        <w:rPr>
          <w:rFonts w:ascii="Times New Roman" w:hAnsi="Times New Roman" w:cs="Times New Roman"/>
          <w:sz w:val="16"/>
          <w:szCs w:val="18"/>
        </w:rPr>
        <w:t xml:space="preserve"> D, </w:t>
      </w:r>
      <w:proofErr w:type="spellStart"/>
      <w:r w:rsidRPr="00235E72">
        <w:rPr>
          <w:rFonts w:ascii="Times New Roman" w:hAnsi="Times New Roman" w:cs="Times New Roman"/>
          <w:sz w:val="16"/>
          <w:szCs w:val="18"/>
        </w:rPr>
        <w:t>Tiwari</w:t>
      </w:r>
      <w:proofErr w:type="spellEnd"/>
      <w:r w:rsidRPr="00235E72">
        <w:rPr>
          <w:rFonts w:ascii="Times New Roman" w:hAnsi="Times New Roman" w:cs="Times New Roman"/>
          <w:sz w:val="16"/>
          <w:szCs w:val="18"/>
        </w:rPr>
        <w:t xml:space="preserve"> R, </w:t>
      </w:r>
      <w:proofErr w:type="spellStart"/>
      <w:r w:rsidRPr="00235E72">
        <w:rPr>
          <w:rFonts w:ascii="Times New Roman" w:hAnsi="Times New Roman" w:cs="Times New Roman"/>
          <w:sz w:val="16"/>
          <w:szCs w:val="18"/>
        </w:rPr>
        <w:t>Patil</w:t>
      </w:r>
      <w:proofErr w:type="spellEnd"/>
      <w:r w:rsidRPr="00235E72">
        <w:rPr>
          <w:rFonts w:ascii="Times New Roman" w:hAnsi="Times New Roman" w:cs="Times New Roman"/>
          <w:sz w:val="16"/>
          <w:szCs w:val="18"/>
        </w:rPr>
        <w:t xml:space="preserve"> H. </w:t>
      </w:r>
      <w:proofErr w:type="spellStart"/>
      <w:r w:rsidRPr="00235E72">
        <w:rPr>
          <w:rFonts w:ascii="Times New Roman" w:hAnsi="Times New Roman" w:cs="Times New Roman"/>
          <w:sz w:val="16"/>
          <w:szCs w:val="18"/>
        </w:rPr>
        <w:t>Thermoreversible</w:t>
      </w:r>
      <w:proofErr w:type="spellEnd"/>
      <w:r w:rsidRPr="00235E72">
        <w:rPr>
          <w:rFonts w:ascii="Times New Roman" w:hAnsi="Times New Roman" w:cs="Times New Roman"/>
          <w:sz w:val="16"/>
          <w:szCs w:val="18"/>
        </w:rPr>
        <w:t xml:space="preserve"> </w:t>
      </w:r>
      <w:proofErr w:type="spellStart"/>
      <w:r w:rsidRPr="00235E72">
        <w:rPr>
          <w:rFonts w:ascii="Times New Roman" w:hAnsi="Times New Roman" w:cs="Times New Roman"/>
          <w:sz w:val="16"/>
          <w:szCs w:val="18"/>
        </w:rPr>
        <w:t>nano-ethosomal</w:t>
      </w:r>
      <w:proofErr w:type="spellEnd"/>
      <w:r w:rsidRPr="00235E72">
        <w:rPr>
          <w:rFonts w:ascii="Times New Roman" w:hAnsi="Times New Roman" w:cs="Times New Roman"/>
          <w:sz w:val="16"/>
          <w:szCs w:val="18"/>
        </w:rPr>
        <w:t xml:space="preserve"> gel for the intranasal delivery of </w:t>
      </w:r>
      <w:proofErr w:type="spellStart"/>
      <w:r w:rsidRPr="00235E72">
        <w:rPr>
          <w:rFonts w:ascii="Times New Roman" w:hAnsi="Times New Roman" w:cs="Times New Roman"/>
          <w:sz w:val="16"/>
          <w:szCs w:val="18"/>
        </w:rPr>
        <w:t>Eletriptan</w:t>
      </w:r>
      <w:proofErr w:type="spellEnd"/>
      <w:r w:rsidRPr="00235E72">
        <w:rPr>
          <w:rFonts w:ascii="Times New Roman" w:hAnsi="Times New Roman" w:cs="Times New Roman"/>
          <w:sz w:val="16"/>
          <w:szCs w:val="18"/>
        </w:rPr>
        <w:t xml:space="preserve"> </w:t>
      </w:r>
      <w:proofErr w:type="spellStart"/>
      <w:r w:rsidRPr="00235E72">
        <w:rPr>
          <w:rFonts w:ascii="Times New Roman" w:hAnsi="Times New Roman" w:cs="Times New Roman"/>
          <w:sz w:val="16"/>
          <w:szCs w:val="18"/>
        </w:rPr>
        <w:t>hydrobromide</w:t>
      </w:r>
      <w:proofErr w:type="spellEnd"/>
      <w:r w:rsidRPr="00235E72">
        <w:rPr>
          <w:rFonts w:ascii="Times New Roman" w:hAnsi="Times New Roman" w:cs="Times New Roman"/>
          <w:sz w:val="16"/>
          <w:szCs w:val="18"/>
        </w:rPr>
        <w:t xml:space="preserve">. J Mater </w:t>
      </w:r>
      <w:proofErr w:type="spellStart"/>
      <w:r w:rsidRPr="00235E72">
        <w:rPr>
          <w:rFonts w:ascii="Times New Roman" w:hAnsi="Times New Roman" w:cs="Times New Roman"/>
          <w:sz w:val="16"/>
          <w:szCs w:val="18"/>
        </w:rPr>
        <w:t>Sci</w:t>
      </w:r>
      <w:proofErr w:type="spellEnd"/>
      <w:r w:rsidRPr="00235E72">
        <w:rPr>
          <w:rFonts w:ascii="Times New Roman" w:hAnsi="Times New Roman" w:cs="Times New Roman"/>
          <w:sz w:val="16"/>
          <w:szCs w:val="18"/>
        </w:rPr>
        <w:t xml:space="preserve"> Mater Med 2016; 27:1-3.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Shelke</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Shahi</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Jalalpure</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Dhamecha</w:t>
      </w:r>
      <w:proofErr w:type="spellEnd"/>
      <w:r w:rsidRPr="00235E72">
        <w:rPr>
          <w:rFonts w:ascii="Times New Roman" w:hAnsi="Times New Roman" w:cs="Times New Roman"/>
          <w:sz w:val="16"/>
          <w:szCs w:val="18"/>
        </w:rPr>
        <w:t xml:space="preserve"> D. </w:t>
      </w:r>
      <w:proofErr w:type="spellStart"/>
      <w:r w:rsidRPr="00235E72">
        <w:rPr>
          <w:rFonts w:ascii="Times New Roman" w:hAnsi="Times New Roman" w:cs="Times New Roman"/>
          <w:sz w:val="16"/>
          <w:szCs w:val="18"/>
        </w:rPr>
        <w:t>Poloxamer</w:t>
      </w:r>
      <w:proofErr w:type="spellEnd"/>
      <w:r w:rsidRPr="00235E72">
        <w:rPr>
          <w:rFonts w:ascii="Times New Roman" w:hAnsi="Times New Roman" w:cs="Times New Roman"/>
          <w:sz w:val="16"/>
          <w:szCs w:val="18"/>
        </w:rPr>
        <w:t xml:space="preserve"> 407</w:t>
      </w:r>
      <w:r w:rsidR="00F9175A" w:rsidRPr="00235E72">
        <w:rPr>
          <w:rFonts w:ascii="Times New Roman" w:hAnsi="Times New Roman" w:cs="Times New Roman"/>
          <w:sz w:val="16"/>
          <w:szCs w:val="18"/>
        </w:rPr>
        <w:t xml:space="preserve"> </w:t>
      </w:r>
      <w:r w:rsidRPr="00235E72">
        <w:rPr>
          <w:rFonts w:ascii="Times New Roman" w:hAnsi="Times New Roman" w:cs="Times New Roman"/>
          <w:sz w:val="16"/>
          <w:szCs w:val="18"/>
        </w:rPr>
        <w:t xml:space="preserve">based intranasal </w:t>
      </w:r>
      <w:proofErr w:type="spellStart"/>
      <w:r w:rsidRPr="00235E72">
        <w:rPr>
          <w:rFonts w:ascii="Times New Roman" w:hAnsi="Times New Roman" w:cs="Times New Roman"/>
          <w:sz w:val="16"/>
          <w:szCs w:val="18"/>
        </w:rPr>
        <w:t>thermoreversible</w:t>
      </w:r>
      <w:proofErr w:type="spellEnd"/>
      <w:r w:rsidRPr="00235E72">
        <w:rPr>
          <w:rFonts w:ascii="Times New Roman" w:hAnsi="Times New Roman" w:cs="Times New Roman"/>
          <w:sz w:val="16"/>
          <w:szCs w:val="18"/>
        </w:rPr>
        <w:t xml:space="preserve"> gel of </w:t>
      </w:r>
      <w:proofErr w:type="spellStart"/>
      <w:r w:rsidRPr="00235E72">
        <w:rPr>
          <w:rFonts w:ascii="Times New Roman" w:hAnsi="Times New Roman" w:cs="Times New Roman"/>
          <w:sz w:val="16"/>
          <w:szCs w:val="18"/>
        </w:rPr>
        <w:t>zolmitriptanloaded</w:t>
      </w:r>
      <w:proofErr w:type="spellEnd"/>
      <w:r w:rsidRPr="00235E72">
        <w:rPr>
          <w:rFonts w:ascii="Times New Roman" w:hAnsi="Times New Roman" w:cs="Times New Roman"/>
          <w:sz w:val="16"/>
          <w:szCs w:val="18"/>
        </w:rPr>
        <w:t xml:space="preserve"> </w:t>
      </w:r>
      <w:proofErr w:type="spellStart"/>
      <w:r w:rsidRPr="00235E72">
        <w:rPr>
          <w:rFonts w:ascii="Times New Roman" w:hAnsi="Times New Roman" w:cs="Times New Roman"/>
          <w:sz w:val="16"/>
          <w:szCs w:val="18"/>
        </w:rPr>
        <w:t>nano</w:t>
      </w:r>
      <w:proofErr w:type="spellEnd"/>
      <w:r w:rsidRPr="00235E72">
        <w:rPr>
          <w:rFonts w:ascii="Times New Roman" w:hAnsi="Times New Roman" w:cs="Times New Roman"/>
          <w:sz w:val="16"/>
          <w:szCs w:val="18"/>
        </w:rPr>
        <w:t xml:space="preserve"> liposomes: formulation, optimization, evaluation and permeation studies. J Liposome Res 2016; 26:313-23.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Gursoy</w:t>
      </w:r>
      <w:proofErr w:type="spellEnd"/>
      <w:r w:rsidRPr="00235E72">
        <w:rPr>
          <w:rFonts w:ascii="Times New Roman" w:hAnsi="Times New Roman" w:cs="Times New Roman"/>
          <w:sz w:val="16"/>
          <w:szCs w:val="18"/>
        </w:rPr>
        <w:t xml:space="preserve"> RN, Benita S. Self-emulsifyi</w:t>
      </w:r>
      <w:r w:rsidR="00F9175A" w:rsidRPr="00235E72">
        <w:rPr>
          <w:rFonts w:ascii="Times New Roman" w:hAnsi="Times New Roman" w:cs="Times New Roman"/>
          <w:sz w:val="16"/>
          <w:szCs w:val="18"/>
        </w:rPr>
        <w:t>ng drug delivery systems</w:t>
      </w:r>
      <w:r w:rsidRPr="00235E72">
        <w:rPr>
          <w:rFonts w:ascii="Times New Roman" w:hAnsi="Times New Roman" w:cs="Times New Roman"/>
          <w:sz w:val="16"/>
          <w:szCs w:val="18"/>
        </w:rPr>
        <w:t xml:space="preserve"> for improved oral delivery of lipophilic drugs. Biomed </w:t>
      </w:r>
      <w:proofErr w:type="spellStart"/>
      <w:r w:rsidRPr="00235E72">
        <w:rPr>
          <w:rFonts w:ascii="Times New Roman" w:hAnsi="Times New Roman" w:cs="Times New Roman"/>
          <w:sz w:val="16"/>
          <w:szCs w:val="18"/>
        </w:rPr>
        <w:t>Pharmacother</w:t>
      </w:r>
      <w:proofErr w:type="spellEnd"/>
      <w:r w:rsidRPr="00235E72">
        <w:rPr>
          <w:rFonts w:ascii="Times New Roman" w:hAnsi="Times New Roman" w:cs="Times New Roman"/>
          <w:sz w:val="16"/>
          <w:szCs w:val="18"/>
        </w:rPr>
        <w:t xml:space="preserve"> 2004; 58:173-82.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r w:rsidRPr="00235E72">
        <w:rPr>
          <w:rFonts w:ascii="Times New Roman" w:hAnsi="Times New Roman" w:cs="Times New Roman"/>
          <w:sz w:val="16"/>
          <w:szCs w:val="18"/>
        </w:rPr>
        <w:t xml:space="preserve">Nelson RH.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 as a risk factor for cardiovascular disease. Prim Care 2013; 40:195-211.</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Rohilla</w:t>
      </w:r>
      <w:proofErr w:type="spellEnd"/>
      <w:r w:rsidRPr="00235E72">
        <w:rPr>
          <w:rFonts w:ascii="Times New Roman" w:hAnsi="Times New Roman" w:cs="Times New Roman"/>
          <w:sz w:val="16"/>
          <w:szCs w:val="18"/>
        </w:rPr>
        <w:t xml:space="preserve"> A, </w:t>
      </w:r>
      <w:proofErr w:type="spellStart"/>
      <w:r w:rsidRPr="00235E72">
        <w:rPr>
          <w:rFonts w:ascii="Times New Roman" w:hAnsi="Times New Roman" w:cs="Times New Roman"/>
          <w:sz w:val="16"/>
          <w:szCs w:val="18"/>
        </w:rPr>
        <w:t>Dagar</w:t>
      </w:r>
      <w:proofErr w:type="spellEnd"/>
      <w:r w:rsidRPr="00235E72">
        <w:rPr>
          <w:rFonts w:ascii="Times New Roman" w:hAnsi="Times New Roman" w:cs="Times New Roman"/>
          <w:sz w:val="16"/>
          <w:szCs w:val="18"/>
        </w:rPr>
        <w:t xml:space="preserve"> N, </w:t>
      </w:r>
      <w:proofErr w:type="spellStart"/>
      <w:r w:rsidRPr="00235E72">
        <w:rPr>
          <w:rFonts w:ascii="Times New Roman" w:hAnsi="Times New Roman" w:cs="Times New Roman"/>
          <w:sz w:val="16"/>
          <w:szCs w:val="18"/>
        </w:rPr>
        <w:t>Rohilla</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Dahiya</w:t>
      </w:r>
      <w:proofErr w:type="spellEnd"/>
      <w:r w:rsidRPr="00235E72">
        <w:rPr>
          <w:rFonts w:ascii="Times New Roman" w:hAnsi="Times New Roman" w:cs="Times New Roman"/>
          <w:sz w:val="16"/>
          <w:szCs w:val="18"/>
        </w:rPr>
        <w:t xml:space="preserve"> A, </w:t>
      </w:r>
      <w:proofErr w:type="spellStart"/>
      <w:r w:rsidRPr="00235E72">
        <w:rPr>
          <w:rFonts w:ascii="Times New Roman" w:hAnsi="Times New Roman" w:cs="Times New Roman"/>
          <w:sz w:val="16"/>
          <w:szCs w:val="18"/>
        </w:rPr>
        <w:t>Kushnoor</w:t>
      </w:r>
      <w:proofErr w:type="spellEnd"/>
      <w:r w:rsidRPr="00235E72">
        <w:rPr>
          <w:rFonts w:ascii="Times New Roman" w:hAnsi="Times New Roman" w:cs="Times New Roman"/>
          <w:sz w:val="16"/>
          <w:szCs w:val="18"/>
        </w:rPr>
        <w:t xml:space="preserve"> A.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–a deadly pathological condition. </w:t>
      </w:r>
      <w:proofErr w:type="spellStart"/>
      <w:r w:rsidRPr="00235E72">
        <w:rPr>
          <w:rFonts w:ascii="Times New Roman" w:hAnsi="Times New Roman" w:cs="Times New Roman"/>
          <w:sz w:val="16"/>
          <w:szCs w:val="18"/>
        </w:rPr>
        <w:t>Int</w:t>
      </w:r>
      <w:proofErr w:type="spellEnd"/>
      <w:r w:rsidRPr="00235E72">
        <w:rPr>
          <w:rFonts w:ascii="Times New Roman" w:hAnsi="Times New Roman" w:cs="Times New Roman"/>
          <w:sz w:val="16"/>
          <w:szCs w:val="18"/>
        </w:rPr>
        <w:t xml:space="preserve"> J </w:t>
      </w:r>
      <w:proofErr w:type="spellStart"/>
      <w:r w:rsidRPr="00235E72">
        <w:rPr>
          <w:rFonts w:ascii="Times New Roman" w:hAnsi="Times New Roman" w:cs="Times New Roman"/>
          <w:sz w:val="16"/>
          <w:szCs w:val="18"/>
        </w:rPr>
        <w:t>Curr</w:t>
      </w:r>
      <w:proofErr w:type="spellEnd"/>
      <w:r w:rsidRPr="00235E72">
        <w:rPr>
          <w:rFonts w:ascii="Times New Roman" w:hAnsi="Times New Roman" w:cs="Times New Roman"/>
          <w:sz w:val="16"/>
          <w:szCs w:val="18"/>
        </w:rPr>
        <w:t xml:space="preserve"> Pharm Res 2012; 4:15-8.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Castelli</w:t>
      </w:r>
      <w:proofErr w:type="spellEnd"/>
      <w:r w:rsidRPr="00235E72">
        <w:rPr>
          <w:rFonts w:ascii="Times New Roman" w:hAnsi="Times New Roman" w:cs="Times New Roman"/>
          <w:sz w:val="16"/>
          <w:szCs w:val="18"/>
        </w:rPr>
        <w:t xml:space="preserve"> WP. The triglyceride issue: a view from Framingham. Am Heart J 1986; 112:432-7. </w:t>
      </w:r>
    </w:p>
    <w:p w:rsidR="00433576"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proofErr w:type="spellStart"/>
      <w:r w:rsidRPr="00235E72">
        <w:rPr>
          <w:rFonts w:ascii="Times New Roman" w:hAnsi="Times New Roman" w:cs="Times New Roman"/>
          <w:sz w:val="16"/>
          <w:szCs w:val="18"/>
        </w:rPr>
        <w:t>Rohilla</w:t>
      </w:r>
      <w:proofErr w:type="spellEnd"/>
      <w:r w:rsidRPr="00235E72">
        <w:rPr>
          <w:rFonts w:ascii="Times New Roman" w:hAnsi="Times New Roman" w:cs="Times New Roman"/>
          <w:sz w:val="16"/>
          <w:szCs w:val="18"/>
        </w:rPr>
        <w:t xml:space="preserve"> AN, </w:t>
      </w:r>
      <w:proofErr w:type="spellStart"/>
      <w:r w:rsidRPr="00235E72">
        <w:rPr>
          <w:rFonts w:ascii="Times New Roman" w:hAnsi="Times New Roman" w:cs="Times New Roman"/>
          <w:sz w:val="16"/>
          <w:szCs w:val="18"/>
        </w:rPr>
        <w:t>Dagar</w:t>
      </w:r>
      <w:proofErr w:type="spellEnd"/>
      <w:r w:rsidRPr="00235E72">
        <w:rPr>
          <w:rFonts w:ascii="Times New Roman" w:hAnsi="Times New Roman" w:cs="Times New Roman"/>
          <w:sz w:val="16"/>
          <w:szCs w:val="18"/>
        </w:rPr>
        <w:t xml:space="preserve"> N, </w:t>
      </w:r>
      <w:proofErr w:type="spellStart"/>
      <w:r w:rsidRPr="00235E72">
        <w:rPr>
          <w:rFonts w:ascii="Times New Roman" w:hAnsi="Times New Roman" w:cs="Times New Roman"/>
          <w:sz w:val="16"/>
          <w:szCs w:val="18"/>
        </w:rPr>
        <w:t>Rohilla</w:t>
      </w:r>
      <w:proofErr w:type="spellEnd"/>
      <w:r w:rsidRPr="00235E72">
        <w:rPr>
          <w:rFonts w:ascii="Times New Roman" w:hAnsi="Times New Roman" w:cs="Times New Roman"/>
          <w:sz w:val="16"/>
          <w:szCs w:val="18"/>
        </w:rPr>
        <w:t xml:space="preserve"> S, </w:t>
      </w:r>
      <w:proofErr w:type="spellStart"/>
      <w:r w:rsidRPr="00235E72">
        <w:rPr>
          <w:rFonts w:ascii="Times New Roman" w:hAnsi="Times New Roman" w:cs="Times New Roman"/>
          <w:sz w:val="16"/>
          <w:szCs w:val="18"/>
        </w:rPr>
        <w:t>Dahiya</w:t>
      </w:r>
      <w:proofErr w:type="spellEnd"/>
      <w:r w:rsidRPr="00235E72">
        <w:rPr>
          <w:rFonts w:ascii="Times New Roman" w:hAnsi="Times New Roman" w:cs="Times New Roman"/>
          <w:sz w:val="16"/>
          <w:szCs w:val="18"/>
        </w:rPr>
        <w:t xml:space="preserve"> </w:t>
      </w:r>
      <w:r w:rsidR="00F9175A" w:rsidRPr="00235E72">
        <w:rPr>
          <w:rFonts w:ascii="Times New Roman" w:hAnsi="Times New Roman" w:cs="Times New Roman"/>
          <w:sz w:val="16"/>
          <w:szCs w:val="18"/>
        </w:rPr>
        <w:t xml:space="preserve">A, </w:t>
      </w:r>
      <w:proofErr w:type="spellStart"/>
      <w:r w:rsidR="00F9175A" w:rsidRPr="00235E72">
        <w:rPr>
          <w:rFonts w:ascii="Times New Roman" w:hAnsi="Times New Roman" w:cs="Times New Roman"/>
          <w:sz w:val="16"/>
          <w:szCs w:val="18"/>
        </w:rPr>
        <w:t>Kushnoor</w:t>
      </w:r>
      <w:proofErr w:type="spellEnd"/>
      <w:r w:rsidR="00F9175A" w:rsidRPr="00235E72">
        <w:rPr>
          <w:rFonts w:ascii="Times New Roman" w:hAnsi="Times New Roman" w:cs="Times New Roman"/>
          <w:sz w:val="16"/>
          <w:szCs w:val="18"/>
        </w:rPr>
        <w:t xml:space="preserve"> A. </w:t>
      </w:r>
      <w:proofErr w:type="spellStart"/>
      <w:r w:rsidR="00F9175A" w:rsidRPr="00235E72">
        <w:rPr>
          <w:rFonts w:ascii="Times New Roman" w:hAnsi="Times New Roman" w:cs="Times New Roman"/>
          <w:sz w:val="16"/>
          <w:szCs w:val="18"/>
        </w:rPr>
        <w:t>Hyperlipidemia</w:t>
      </w:r>
      <w:proofErr w:type="spellEnd"/>
      <w:r w:rsidR="00F9175A" w:rsidRPr="00235E72">
        <w:rPr>
          <w:rFonts w:ascii="Times New Roman" w:hAnsi="Times New Roman" w:cs="Times New Roman"/>
          <w:sz w:val="16"/>
          <w:szCs w:val="18"/>
        </w:rPr>
        <w:t xml:space="preserve"> </w:t>
      </w:r>
      <w:r w:rsidRPr="00235E72">
        <w:rPr>
          <w:rFonts w:ascii="Times New Roman" w:hAnsi="Times New Roman" w:cs="Times New Roman"/>
          <w:sz w:val="16"/>
          <w:szCs w:val="18"/>
        </w:rPr>
        <w:t xml:space="preserve">a deadly pathological condition. </w:t>
      </w:r>
      <w:proofErr w:type="spellStart"/>
      <w:r w:rsidRPr="00235E72">
        <w:rPr>
          <w:rFonts w:ascii="Times New Roman" w:hAnsi="Times New Roman" w:cs="Times New Roman"/>
          <w:sz w:val="16"/>
          <w:szCs w:val="18"/>
        </w:rPr>
        <w:t>Int</w:t>
      </w:r>
      <w:proofErr w:type="spellEnd"/>
      <w:r w:rsidRPr="00235E72">
        <w:rPr>
          <w:rFonts w:ascii="Times New Roman" w:hAnsi="Times New Roman" w:cs="Times New Roman"/>
          <w:sz w:val="16"/>
          <w:szCs w:val="18"/>
        </w:rPr>
        <w:t xml:space="preserve"> J </w:t>
      </w:r>
      <w:proofErr w:type="spellStart"/>
      <w:r w:rsidRPr="00235E72">
        <w:rPr>
          <w:rFonts w:ascii="Times New Roman" w:hAnsi="Times New Roman" w:cs="Times New Roman"/>
          <w:sz w:val="16"/>
          <w:szCs w:val="18"/>
        </w:rPr>
        <w:t>Curr</w:t>
      </w:r>
      <w:proofErr w:type="spellEnd"/>
      <w:r w:rsidRPr="00235E72">
        <w:rPr>
          <w:rFonts w:ascii="Times New Roman" w:hAnsi="Times New Roman" w:cs="Times New Roman"/>
          <w:sz w:val="16"/>
          <w:szCs w:val="18"/>
        </w:rPr>
        <w:t xml:space="preserve"> Pharm Res 2012; 4:15-8. </w:t>
      </w:r>
    </w:p>
    <w:p w:rsidR="00204CB4" w:rsidRPr="00235E72" w:rsidRDefault="00433576" w:rsidP="000D797F">
      <w:pPr>
        <w:numPr>
          <w:ilvl w:val="0"/>
          <w:numId w:val="1"/>
        </w:numPr>
        <w:spacing w:after="0" w:line="240" w:lineRule="auto"/>
        <w:ind w:left="284" w:hanging="284"/>
        <w:jc w:val="both"/>
        <w:rPr>
          <w:rFonts w:ascii="Times New Roman" w:hAnsi="Times New Roman" w:cs="Times New Roman"/>
          <w:sz w:val="16"/>
          <w:szCs w:val="18"/>
        </w:rPr>
      </w:pPr>
      <w:r w:rsidRPr="00235E72">
        <w:rPr>
          <w:rFonts w:ascii="Times New Roman" w:hAnsi="Times New Roman" w:cs="Times New Roman"/>
          <w:sz w:val="16"/>
          <w:szCs w:val="18"/>
        </w:rPr>
        <w:t xml:space="preserve">Nakamura K, Miyoshi T, </w:t>
      </w:r>
      <w:proofErr w:type="spellStart"/>
      <w:r w:rsidRPr="00235E72">
        <w:rPr>
          <w:rFonts w:ascii="Times New Roman" w:hAnsi="Times New Roman" w:cs="Times New Roman"/>
          <w:sz w:val="16"/>
          <w:szCs w:val="18"/>
        </w:rPr>
        <w:t>Yunoki</w:t>
      </w:r>
      <w:proofErr w:type="spellEnd"/>
      <w:r w:rsidRPr="00235E72">
        <w:rPr>
          <w:rFonts w:ascii="Times New Roman" w:hAnsi="Times New Roman" w:cs="Times New Roman"/>
          <w:sz w:val="16"/>
          <w:szCs w:val="18"/>
        </w:rPr>
        <w:t xml:space="preserve"> K, Ito H. Postprandial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 as a potential residual risk factor. J </w:t>
      </w:r>
      <w:proofErr w:type="spellStart"/>
      <w:r w:rsidRPr="00235E72">
        <w:rPr>
          <w:rFonts w:ascii="Times New Roman" w:hAnsi="Times New Roman" w:cs="Times New Roman"/>
          <w:sz w:val="16"/>
          <w:szCs w:val="18"/>
        </w:rPr>
        <w:t>Cardiol</w:t>
      </w:r>
      <w:proofErr w:type="spellEnd"/>
      <w:r w:rsidRPr="00235E72">
        <w:rPr>
          <w:rFonts w:ascii="Times New Roman" w:hAnsi="Times New Roman" w:cs="Times New Roman"/>
          <w:sz w:val="16"/>
          <w:szCs w:val="18"/>
        </w:rPr>
        <w:t xml:space="preserve"> 2016; 67:335-9. </w:t>
      </w:r>
    </w:p>
    <w:p w:rsidR="00171BAB" w:rsidRDefault="00433576" w:rsidP="000D797F">
      <w:pPr>
        <w:numPr>
          <w:ilvl w:val="0"/>
          <w:numId w:val="1"/>
        </w:numPr>
        <w:spacing w:after="0" w:line="240" w:lineRule="auto"/>
        <w:ind w:left="284" w:hanging="284"/>
        <w:jc w:val="both"/>
        <w:rPr>
          <w:rFonts w:ascii="Times New Roman" w:hAnsi="Times New Roman" w:cs="Times New Roman"/>
          <w:sz w:val="16"/>
          <w:szCs w:val="18"/>
        </w:rPr>
        <w:sectPr w:rsidR="00171BAB" w:rsidSect="00171BAB">
          <w:type w:val="continuous"/>
          <w:pgSz w:w="11906" w:h="16838" w:code="9"/>
          <w:pgMar w:top="1107" w:right="964" w:bottom="964" w:left="1134" w:header="709" w:footer="709" w:gutter="0"/>
          <w:pgNumType w:start="57"/>
          <w:cols w:num="2" w:space="452"/>
          <w:docGrid w:linePitch="360"/>
        </w:sectPr>
      </w:pPr>
      <w:r w:rsidRPr="00235E72">
        <w:rPr>
          <w:rFonts w:ascii="Times New Roman" w:hAnsi="Times New Roman" w:cs="Times New Roman"/>
          <w:sz w:val="16"/>
          <w:szCs w:val="18"/>
        </w:rPr>
        <w:t xml:space="preserve">Goldstein JL, </w:t>
      </w:r>
      <w:proofErr w:type="spellStart"/>
      <w:r w:rsidRPr="00235E72">
        <w:rPr>
          <w:rFonts w:ascii="Times New Roman" w:hAnsi="Times New Roman" w:cs="Times New Roman"/>
          <w:sz w:val="16"/>
          <w:szCs w:val="18"/>
        </w:rPr>
        <w:t>Schrott</w:t>
      </w:r>
      <w:proofErr w:type="spellEnd"/>
      <w:r w:rsidRPr="00235E72">
        <w:rPr>
          <w:rFonts w:ascii="Times New Roman" w:hAnsi="Times New Roman" w:cs="Times New Roman"/>
          <w:sz w:val="16"/>
          <w:szCs w:val="18"/>
        </w:rPr>
        <w:t xml:space="preserve"> HG, </w:t>
      </w:r>
      <w:proofErr w:type="spellStart"/>
      <w:r w:rsidRPr="00235E72">
        <w:rPr>
          <w:rFonts w:ascii="Times New Roman" w:hAnsi="Times New Roman" w:cs="Times New Roman"/>
          <w:sz w:val="16"/>
          <w:szCs w:val="18"/>
        </w:rPr>
        <w:t>Hazzard</w:t>
      </w:r>
      <w:proofErr w:type="spellEnd"/>
      <w:r w:rsidRPr="00235E72">
        <w:rPr>
          <w:rFonts w:ascii="Times New Roman" w:hAnsi="Times New Roman" w:cs="Times New Roman"/>
          <w:sz w:val="16"/>
          <w:szCs w:val="18"/>
        </w:rPr>
        <w:t xml:space="preserve"> WR, </w:t>
      </w:r>
      <w:proofErr w:type="spellStart"/>
      <w:r w:rsidRPr="00235E72">
        <w:rPr>
          <w:rFonts w:ascii="Times New Roman" w:hAnsi="Times New Roman" w:cs="Times New Roman"/>
          <w:sz w:val="16"/>
          <w:szCs w:val="18"/>
        </w:rPr>
        <w:t>Bierman</w:t>
      </w:r>
      <w:proofErr w:type="spellEnd"/>
      <w:r w:rsidRPr="00235E72">
        <w:rPr>
          <w:rFonts w:ascii="Times New Roman" w:hAnsi="Times New Roman" w:cs="Times New Roman"/>
          <w:sz w:val="16"/>
          <w:szCs w:val="18"/>
        </w:rPr>
        <w:t xml:space="preserve"> EL, </w:t>
      </w:r>
      <w:proofErr w:type="spellStart"/>
      <w:r w:rsidRPr="00235E72">
        <w:rPr>
          <w:rFonts w:ascii="Times New Roman" w:hAnsi="Times New Roman" w:cs="Times New Roman"/>
          <w:sz w:val="16"/>
          <w:szCs w:val="18"/>
        </w:rPr>
        <w:t>Motulsky</w:t>
      </w:r>
      <w:proofErr w:type="spellEnd"/>
      <w:r w:rsidRPr="00235E72">
        <w:rPr>
          <w:rFonts w:ascii="Times New Roman" w:hAnsi="Times New Roman" w:cs="Times New Roman"/>
          <w:sz w:val="16"/>
          <w:szCs w:val="18"/>
        </w:rPr>
        <w:t xml:space="preserve"> AG.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 in coronary heart disease II. Genetic analysis of lipid levels in 176 families and delineation of a new inherited disorder, combined </w:t>
      </w:r>
      <w:proofErr w:type="spellStart"/>
      <w:r w:rsidRPr="00235E72">
        <w:rPr>
          <w:rFonts w:ascii="Times New Roman" w:hAnsi="Times New Roman" w:cs="Times New Roman"/>
          <w:sz w:val="16"/>
          <w:szCs w:val="18"/>
        </w:rPr>
        <w:t>hyperlipidemia</w:t>
      </w:r>
      <w:proofErr w:type="spellEnd"/>
      <w:r w:rsidRPr="00235E72">
        <w:rPr>
          <w:rFonts w:ascii="Times New Roman" w:hAnsi="Times New Roman" w:cs="Times New Roman"/>
          <w:sz w:val="16"/>
          <w:szCs w:val="18"/>
        </w:rPr>
        <w:t xml:space="preserve">. J </w:t>
      </w:r>
      <w:proofErr w:type="spellStart"/>
      <w:r w:rsidRPr="00235E72">
        <w:rPr>
          <w:rFonts w:ascii="Times New Roman" w:hAnsi="Times New Roman" w:cs="Times New Roman"/>
          <w:sz w:val="16"/>
          <w:szCs w:val="18"/>
        </w:rPr>
        <w:t>Clin</w:t>
      </w:r>
      <w:proofErr w:type="spellEnd"/>
      <w:r w:rsidRPr="00235E72">
        <w:rPr>
          <w:rFonts w:ascii="Times New Roman" w:hAnsi="Times New Roman" w:cs="Times New Roman"/>
          <w:sz w:val="16"/>
          <w:szCs w:val="18"/>
        </w:rPr>
        <w:t xml:space="preserve"> Invest 1973; 52:1544. </w:t>
      </w:r>
    </w:p>
    <w:p w:rsidR="00433576" w:rsidRPr="00235E72" w:rsidRDefault="00433576" w:rsidP="00171BAB">
      <w:pPr>
        <w:spacing w:after="0" w:line="240" w:lineRule="auto"/>
        <w:ind w:left="284"/>
        <w:jc w:val="both"/>
        <w:rPr>
          <w:rFonts w:ascii="Times New Roman" w:hAnsi="Times New Roman" w:cs="Times New Roman"/>
          <w:sz w:val="18"/>
          <w:szCs w:val="18"/>
        </w:rPr>
      </w:pPr>
    </w:p>
    <w:p w:rsidR="001C1733" w:rsidRPr="00235E72" w:rsidRDefault="001C1733" w:rsidP="008E3709">
      <w:pPr>
        <w:autoSpaceDE w:val="0"/>
        <w:autoSpaceDN w:val="0"/>
        <w:adjustRightInd w:val="0"/>
        <w:spacing w:after="120" w:line="240" w:lineRule="auto"/>
        <w:jc w:val="both"/>
        <w:rPr>
          <w:rFonts w:ascii="Times New Roman" w:hAnsi="Times New Roman" w:cs="Times New Roman"/>
          <w:b/>
          <w:bCs/>
          <w:sz w:val="18"/>
          <w:szCs w:val="18"/>
        </w:rPr>
      </w:pPr>
    </w:p>
    <w:sectPr w:rsidR="001C1733" w:rsidRPr="00235E72" w:rsidSect="00235E72">
      <w:type w:val="continuous"/>
      <w:pgSz w:w="11906" w:h="16838" w:code="9"/>
      <w:pgMar w:top="1107" w:right="964" w:bottom="964" w:left="1134" w:header="709" w:footer="709" w:gutter="0"/>
      <w:pgNumType w:start="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C2C" w:rsidRDefault="00486C2C" w:rsidP="00AF672A">
      <w:pPr>
        <w:spacing w:after="0" w:line="240" w:lineRule="auto"/>
      </w:pPr>
      <w:r>
        <w:separator/>
      </w:r>
    </w:p>
  </w:endnote>
  <w:endnote w:type="continuationSeparator" w:id="0">
    <w:p w:rsidR="00486C2C" w:rsidRDefault="00486C2C" w:rsidP="00AF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Default="0065752E">
    <w:pPr>
      <w:tabs>
        <w:tab w:val="center" w:pos="4510"/>
      </w:tabs>
      <w:spacing w:after="124"/>
    </w:pPr>
    <w:r>
      <w:tab/>
    </w:r>
    <w:r>
      <w:fldChar w:fldCharType="begin"/>
    </w:r>
    <w:r>
      <w:instrText xml:space="preserve"> PAGE   \* MERGEFORMAT </w:instrText>
    </w:r>
    <w:r>
      <w:fldChar w:fldCharType="separate"/>
    </w:r>
    <w:r>
      <w:rPr>
        <w:noProof/>
      </w:rPr>
      <w:t>134</w:t>
    </w:r>
    <w:r>
      <w:fldChar w:fldCharType="end"/>
    </w:r>
  </w:p>
  <w:p w:rsidR="0065752E" w:rsidRDefault="0065752E">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Pr="00235E72" w:rsidRDefault="0065752E" w:rsidP="00235E72">
    <w:pPr>
      <w:pStyle w:val="Footer"/>
      <w:shd w:val="clear" w:color="auto" w:fill="F2F2F2"/>
      <w:rPr>
        <w:rFonts w:ascii="Cambria" w:hAnsi="Cambria"/>
        <w:color w:val="31849B"/>
        <w:sz w:val="17"/>
        <w:szCs w:val="17"/>
      </w:rPr>
    </w:pPr>
    <w:r w:rsidRPr="00585AA2">
      <w:rPr>
        <w:rFonts w:ascii="Cambria" w:hAnsi="Cambria"/>
        <w:bCs/>
        <w:color w:val="31849B"/>
        <w:sz w:val="17"/>
        <w:szCs w:val="17"/>
      </w:rPr>
      <w:t>ISSN: 2250-1177                                                                                      [</w:t>
    </w:r>
    <w:r w:rsidRPr="00585AA2">
      <w:rPr>
        <w:rFonts w:ascii="Cambria" w:hAnsi="Cambria"/>
        <w:bCs/>
        <w:color w:val="31849B"/>
        <w:sz w:val="17"/>
        <w:szCs w:val="17"/>
      </w:rPr>
      <w:fldChar w:fldCharType="begin"/>
    </w:r>
    <w:r w:rsidRPr="00585AA2">
      <w:rPr>
        <w:rFonts w:ascii="Cambria" w:hAnsi="Cambria"/>
        <w:bCs/>
        <w:color w:val="31849B"/>
        <w:sz w:val="17"/>
        <w:szCs w:val="17"/>
      </w:rPr>
      <w:instrText xml:space="preserve"> PAGE   \* MERGEFORMAT </w:instrText>
    </w:r>
    <w:r w:rsidRPr="00585AA2">
      <w:rPr>
        <w:rFonts w:ascii="Cambria" w:hAnsi="Cambria"/>
        <w:bCs/>
        <w:color w:val="31849B"/>
        <w:sz w:val="17"/>
        <w:szCs w:val="17"/>
      </w:rPr>
      <w:fldChar w:fldCharType="separate"/>
    </w:r>
    <w:r w:rsidR="00A81D45">
      <w:rPr>
        <w:rFonts w:ascii="Cambria" w:hAnsi="Cambria"/>
        <w:bCs/>
        <w:noProof/>
        <w:color w:val="31849B"/>
        <w:sz w:val="17"/>
        <w:szCs w:val="17"/>
      </w:rPr>
      <w:t>18</w:t>
    </w:r>
    <w:r w:rsidRPr="00585AA2">
      <w:rPr>
        <w:rFonts w:ascii="Cambria" w:hAnsi="Cambria"/>
        <w:bCs/>
        <w:color w:val="31849B"/>
        <w:sz w:val="17"/>
        <w:szCs w:val="17"/>
      </w:rPr>
      <w:fldChar w:fldCharType="end"/>
    </w:r>
    <w:r w:rsidRPr="00585AA2">
      <w:rPr>
        <w:rFonts w:ascii="Cambria" w:hAnsi="Cambria"/>
        <w:bCs/>
        <w:color w:val="31849B"/>
        <w:sz w:val="17"/>
        <w:szCs w:val="17"/>
      </w:rPr>
      <w:t>]</w:t>
    </w:r>
    <w:r w:rsidRPr="00585AA2">
      <w:rPr>
        <w:rFonts w:ascii="Cambria" w:hAnsi="Cambria"/>
        <w:color w:val="31849B"/>
        <w:sz w:val="17"/>
        <w:szCs w:val="17"/>
      </w:rPr>
      <w:t xml:space="preserve">                                                                                        </w:t>
    </w:r>
    <w:r w:rsidRPr="00585AA2">
      <w:rPr>
        <w:rFonts w:ascii="Cambria" w:hAnsi="Cambria"/>
        <w:bCs/>
        <w:color w:val="31849B"/>
        <w:sz w:val="17"/>
        <w:szCs w:val="17"/>
      </w:rPr>
      <w:t xml:space="preserve"> CODEN (USA): JDDTAO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Default="0065752E">
    <w:pPr>
      <w:tabs>
        <w:tab w:val="center" w:pos="4510"/>
      </w:tabs>
      <w:spacing w:after="124"/>
    </w:pPr>
    <w:r>
      <w:tab/>
    </w:r>
    <w:r>
      <w:fldChar w:fldCharType="begin"/>
    </w:r>
    <w:r>
      <w:instrText xml:space="preserve"> PAGE   \* MERGEFORMAT </w:instrText>
    </w:r>
    <w:r>
      <w:fldChar w:fldCharType="separate"/>
    </w:r>
    <w:r>
      <w:t>100</w:t>
    </w:r>
    <w:r>
      <w:fldChar w:fldCharType="end"/>
    </w:r>
  </w:p>
  <w:p w:rsidR="0065752E" w:rsidRDefault="0065752E">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C2C" w:rsidRDefault="00486C2C" w:rsidP="00AF672A">
      <w:pPr>
        <w:spacing w:after="0" w:line="240" w:lineRule="auto"/>
      </w:pPr>
      <w:r>
        <w:separator/>
      </w:r>
    </w:p>
  </w:footnote>
  <w:footnote w:type="continuationSeparator" w:id="0">
    <w:p w:rsidR="00486C2C" w:rsidRDefault="00486C2C" w:rsidP="00AF6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Default="0065752E">
    <w:pPr>
      <w:spacing w:after="112"/>
      <w:ind w:left="10"/>
      <w:jc w:val="center"/>
    </w:pPr>
  </w:p>
  <w:p w:rsidR="0065752E" w:rsidRDefault="0065752E">
    <w:pPr>
      <w:spacing w:after="0"/>
      <w:ind w:right="50"/>
      <w:jc w:val="center"/>
    </w:pPr>
    <w:r>
      <w:t xml:space="preserve">Development and Validation of Q-Absorbance Ratio </w:t>
    </w:r>
    <w:proofErr w:type="spellStart"/>
    <w:r>
      <w:t>Uv</w:t>
    </w:r>
    <w:proofErr w:type="spellEnd"/>
    <w:r>
      <w:t xml:space="preserve">-Spectrophotometric Method for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Pr="00235E72" w:rsidRDefault="0065752E" w:rsidP="00235E72">
    <w:pPr>
      <w:pStyle w:val="Header"/>
      <w:shd w:val="clear" w:color="auto" w:fill="F2F2F2"/>
      <w:tabs>
        <w:tab w:val="right" w:pos="9540"/>
        <w:tab w:val="left" w:pos="9630"/>
        <w:tab w:val="left" w:pos="10440"/>
      </w:tabs>
      <w:rPr>
        <w:rFonts w:ascii="Cambria" w:hAnsi="Cambria"/>
        <w:i/>
        <w:color w:val="31849B"/>
        <w:sz w:val="17"/>
        <w:szCs w:val="17"/>
      </w:rPr>
    </w:pPr>
    <w:r w:rsidRPr="00235E72">
      <w:rPr>
        <w:rFonts w:ascii="Cambria" w:hAnsi="Cambria"/>
        <w:bCs/>
        <w:color w:val="31849B"/>
        <w:sz w:val="17"/>
        <w:szCs w:val="17"/>
      </w:rPr>
      <w:t>Sharma</w:t>
    </w:r>
    <w:r w:rsidRPr="00585AA2">
      <w:rPr>
        <w:rFonts w:ascii="Cambria" w:hAnsi="Cambria"/>
        <w:bCs/>
        <w:color w:val="31849B"/>
        <w:sz w:val="17"/>
        <w:szCs w:val="17"/>
      </w:rPr>
      <w:t xml:space="preserve"> et al                                              </w:t>
    </w:r>
    <w:r>
      <w:rPr>
        <w:rFonts w:ascii="Cambria" w:hAnsi="Cambria"/>
        <w:bCs/>
        <w:color w:val="31849B"/>
        <w:sz w:val="17"/>
        <w:szCs w:val="17"/>
      </w:rPr>
      <w:t xml:space="preserve">   </w:t>
    </w:r>
    <w:r w:rsidRPr="00585AA2">
      <w:rPr>
        <w:rFonts w:ascii="Cambria" w:hAnsi="Cambria"/>
        <w:bCs/>
        <w:color w:val="31849B"/>
        <w:sz w:val="17"/>
        <w:szCs w:val="17"/>
      </w:rPr>
      <w:t xml:space="preserve">             </w:t>
    </w:r>
    <w:r>
      <w:rPr>
        <w:rFonts w:ascii="Cambria" w:hAnsi="Cambria"/>
        <w:bCs/>
        <w:color w:val="31849B"/>
        <w:sz w:val="17"/>
        <w:szCs w:val="17"/>
      </w:rPr>
      <w:t xml:space="preserve">             </w:t>
    </w:r>
    <w:r w:rsidRPr="00585AA2">
      <w:rPr>
        <w:rFonts w:ascii="Cambria" w:hAnsi="Cambria"/>
        <w:bCs/>
        <w:color w:val="31849B"/>
        <w:sz w:val="17"/>
        <w:szCs w:val="17"/>
      </w:rPr>
      <w:t xml:space="preserve">        </w:t>
    </w:r>
    <w:r>
      <w:rPr>
        <w:rFonts w:ascii="Cambria" w:hAnsi="Cambria"/>
        <w:bCs/>
        <w:color w:val="31849B"/>
        <w:sz w:val="17"/>
        <w:szCs w:val="17"/>
      </w:rPr>
      <w:t xml:space="preserve">                       </w:t>
    </w:r>
    <w:r w:rsidRPr="00585AA2">
      <w:rPr>
        <w:rFonts w:ascii="Cambria" w:hAnsi="Cambria"/>
        <w:bCs/>
        <w:color w:val="31849B"/>
        <w:sz w:val="17"/>
        <w:szCs w:val="17"/>
      </w:rPr>
      <w:t xml:space="preserve">            Journal of Drug Delivery &amp; Therapeutics. 2021; 11(2-s</w:t>
    </w:r>
    <w:r>
      <w:rPr>
        <w:rFonts w:ascii="Cambria" w:hAnsi="Cambria"/>
        <w:bCs/>
        <w:color w:val="31849B"/>
        <w:sz w:val="17"/>
        <w:szCs w:val="17"/>
      </w:rPr>
      <w:t>):14-18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52E" w:rsidRDefault="0065752E">
    <w:pPr>
      <w:spacing w:after="112"/>
      <w:ind w:left="10"/>
      <w:jc w:val="center"/>
    </w:pPr>
  </w:p>
  <w:p w:rsidR="0065752E" w:rsidRDefault="0065752E">
    <w:pPr>
      <w:spacing w:after="0"/>
      <w:ind w:right="50"/>
      <w:jc w:val="center"/>
    </w:pPr>
    <w:r>
      <w:t xml:space="preserve">Development and Validation of Q-Absorbance Ratio </w:t>
    </w:r>
    <w:proofErr w:type="spellStart"/>
    <w:r>
      <w:t>Uv</w:t>
    </w:r>
    <w:proofErr w:type="spellEnd"/>
    <w:r>
      <w:t xml:space="preserve">-Spectrophotometric Method for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2518C"/>
    <w:multiLevelType w:val="hybridMultilevel"/>
    <w:tmpl w:val="650A8AC2"/>
    <w:lvl w:ilvl="0" w:tplc="DD60659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2287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4BD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681D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6CC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02CC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120FF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4E7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9E36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48AF26C2"/>
    <w:multiLevelType w:val="hybridMultilevel"/>
    <w:tmpl w:val="E46ED148"/>
    <w:lvl w:ilvl="0" w:tplc="57385008">
      <w:start w:val="1"/>
      <w:numFmt w:val="decimal"/>
      <w:lvlText w:val="%1."/>
      <w:lvlJc w:val="left"/>
      <w:pPr>
        <w:ind w:left="360"/>
      </w:pPr>
      <w:rPr>
        <w:rFonts w:ascii="Cambria" w:eastAsia="Cambria" w:hAnsi="Cambria" w:cs="Times New Roman" w:hint="default"/>
        <w:b w:val="0"/>
        <w:i w:val="0"/>
        <w:strike w:val="0"/>
        <w:dstrike w:val="0"/>
        <w:color w:val="000000"/>
        <w:sz w:val="16"/>
        <w:szCs w:val="16"/>
        <w:u w:val="none" w:color="000000"/>
        <w:bdr w:val="none" w:sz="0" w:space="0" w:color="auto"/>
        <w:shd w:val="clear" w:color="auto" w:fill="auto"/>
        <w:vertAlign w:val="baseline"/>
      </w:rPr>
    </w:lvl>
    <w:lvl w:ilvl="1" w:tplc="29E6BA06">
      <w:start w:val="1"/>
      <w:numFmt w:val="lowerLetter"/>
      <w:lvlText w:val="%2"/>
      <w:lvlJc w:val="left"/>
      <w:pPr>
        <w:ind w:left="108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2" w:tplc="2BDE497E">
      <w:start w:val="1"/>
      <w:numFmt w:val="lowerRoman"/>
      <w:lvlText w:val="%3"/>
      <w:lvlJc w:val="left"/>
      <w:pPr>
        <w:ind w:left="18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3" w:tplc="BCA472F4">
      <w:start w:val="1"/>
      <w:numFmt w:val="decimal"/>
      <w:lvlText w:val="%4"/>
      <w:lvlJc w:val="left"/>
      <w:pPr>
        <w:ind w:left="25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4" w:tplc="60200926">
      <w:start w:val="1"/>
      <w:numFmt w:val="lowerLetter"/>
      <w:lvlText w:val="%5"/>
      <w:lvlJc w:val="left"/>
      <w:pPr>
        <w:ind w:left="324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5" w:tplc="45067F96">
      <w:start w:val="1"/>
      <w:numFmt w:val="lowerRoman"/>
      <w:lvlText w:val="%6"/>
      <w:lvlJc w:val="left"/>
      <w:pPr>
        <w:ind w:left="396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6" w:tplc="290ABDA4">
      <w:start w:val="1"/>
      <w:numFmt w:val="decimal"/>
      <w:lvlText w:val="%7"/>
      <w:lvlJc w:val="left"/>
      <w:pPr>
        <w:ind w:left="468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7" w:tplc="B52CEE96">
      <w:start w:val="1"/>
      <w:numFmt w:val="lowerLetter"/>
      <w:lvlText w:val="%8"/>
      <w:lvlJc w:val="left"/>
      <w:pPr>
        <w:ind w:left="540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8" w:tplc="9B128842">
      <w:start w:val="1"/>
      <w:numFmt w:val="lowerRoman"/>
      <w:lvlText w:val="%9"/>
      <w:lvlJc w:val="left"/>
      <w:pPr>
        <w:ind w:left="6120"/>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7CEE"/>
    <w:rsid w:val="0001613D"/>
    <w:rsid w:val="00065174"/>
    <w:rsid w:val="00081EBC"/>
    <w:rsid w:val="000D797F"/>
    <w:rsid w:val="00130136"/>
    <w:rsid w:val="00132FD4"/>
    <w:rsid w:val="00171BAB"/>
    <w:rsid w:val="001741EF"/>
    <w:rsid w:val="001C10A3"/>
    <w:rsid w:val="001C1733"/>
    <w:rsid w:val="001D7DF8"/>
    <w:rsid w:val="00204CB4"/>
    <w:rsid w:val="0022134E"/>
    <w:rsid w:val="00224D75"/>
    <w:rsid w:val="00235E72"/>
    <w:rsid w:val="00251BD1"/>
    <w:rsid w:val="002804B3"/>
    <w:rsid w:val="00297282"/>
    <w:rsid w:val="002A146C"/>
    <w:rsid w:val="002C1DC3"/>
    <w:rsid w:val="002D7CEE"/>
    <w:rsid w:val="002F7F1E"/>
    <w:rsid w:val="00306599"/>
    <w:rsid w:val="00336AF6"/>
    <w:rsid w:val="003F1D01"/>
    <w:rsid w:val="0040419C"/>
    <w:rsid w:val="00427A5E"/>
    <w:rsid w:val="00433576"/>
    <w:rsid w:val="00486C2C"/>
    <w:rsid w:val="004D72BB"/>
    <w:rsid w:val="005544B2"/>
    <w:rsid w:val="005743CB"/>
    <w:rsid w:val="00574A13"/>
    <w:rsid w:val="005D234F"/>
    <w:rsid w:val="006073CA"/>
    <w:rsid w:val="00647823"/>
    <w:rsid w:val="0065752E"/>
    <w:rsid w:val="00672629"/>
    <w:rsid w:val="00692242"/>
    <w:rsid w:val="00741023"/>
    <w:rsid w:val="00762CC3"/>
    <w:rsid w:val="00816940"/>
    <w:rsid w:val="008268F4"/>
    <w:rsid w:val="008472D5"/>
    <w:rsid w:val="00883DB8"/>
    <w:rsid w:val="008A1614"/>
    <w:rsid w:val="008E3709"/>
    <w:rsid w:val="008E7475"/>
    <w:rsid w:val="00931906"/>
    <w:rsid w:val="00942DF6"/>
    <w:rsid w:val="00994781"/>
    <w:rsid w:val="009B2A82"/>
    <w:rsid w:val="009B760E"/>
    <w:rsid w:val="00A014D5"/>
    <w:rsid w:val="00A02CB1"/>
    <w:rsid w:val="00A45036"/>
    <w:rsid w:val="00A75FB0"/>
    <w:rsid w:val="00A81D45"/>
    <w:rsid w:val="00A9740A"/>
    <w:rsid w:val="00AA2C7C"/>
    <w:rsid w:val="00AF0306"/>
    <w:rsid w:val="00AF672A"/>
    <w:rsid w:val="00B23BE7"/>
    <w:rsid w:val="00B65852"/>
    <w:rsid w:val="00B8730B"/>
    <w:rsid w:val="00BB49F1"/>
    <w:rsid w:val="00BC5751"/>
    <w:rsid w:val="00C20F7D"/>
    <w:rsid w:val="00C72B53"/>
    <w:rsid w:val="00C85574"/>
    <w:rsid w:val="00C87102"/>
    <w:rsid w:val="00CA3D17"/>
    <w:rsid w:val="00CC5858"/>
    <w:rsid w:val="00CE5622"/>
    <w:rsid w:val="00CE7BBB"/>
    <w:rsid w:val="00D01303"/>
    <w:rsid w:val="00D92E3B"/>
    <w:rsid w:val="00E02B77"/>
    <w:rsid w:val="00E94CEB"/>
    <w:rsid w:val="00E9757E"/>
    <w:rsid w:val="00EE3435"/>
    <w:rsid w:val="00F17976"/>
    <w:rsid w:val="00F34395"/>
    <w:rsid w:val="00F85EB0"/>
    <w:rsid w:val="00F9175A"/>
    <w:rsid w:val="00FC24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46C"/>
  </w:style>
  <w:style w:type="paragraph" w:styleId="Heading2">
    <w:name w:val="heading 2"/>
    <w:next w:val="Normal"/>
    <w:link w:val="Heading2Char"/>
    <w:uiPriority w:val="9"/>
    <w:unhideWhenUsed/>
    <w:qFormat/>
    <w:rsid w:val="008E7475"/>
    <w:pPr>
      <w:keepNext/>
      <w:keepLines/>
      <w:spacing w:after="335" w:line="265" w:lineRule="auto"/>
      <w:ind w:left="190" w:hanging="10"/>
      <w:outlineLvl w:val="1"/>
    </w:pPr>
    <w:rPr>
      <w:rFonts w:ascii="Times New Roman" w:eastAsia="Times New Roman" w:hAnsi="Times New Roman" w:cs="Times New Roman"/>
      <w:b/>
      <w:color w:val="000000"/>
      <w:sz w:val="28"/>
      <w:lang w:eastAsia="en-IN"/>
    </w:rPr>
  </w:style>
  <w:style w:type="paragraph" w:styleId="Heading3">
    <w:name w:val="heading 3"/>
    <w:basedOn w:val="Normal"/>
    <w:next w:val="Normal"/>
    <w:link w:val="Heading3Char"/>
    <w:uiPriority w:val="9"/>
    <w:unhideWhenUsed/>
    <w:qFormat/>
    <w:rsid w:val="002972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uiPriority w:val="9"/>
    <w:unhideWhenUsed/>
    <w:qFormat/>
    <w:rsid w:val="008E7475"/>
    <w:pPr>
      <w:keepNext/>
      <w:keepLines/>
      <w:spacing w:after="351" w:line="265" w:lineRule="auto"/>
      <w:ind w:left="2867" w:hanging="10"/>
      <w:jc w:val="both"/>
      <w:outlineLvl w:val="3"/>
    </w:pPr>
    <w:rPr>
      <w:rFonts w:ascii="Times New Roman" w:eastAsia="Times New Roman" w:hAnsi="Times New Roman" w:cs="Times New Roman"/>
      <w:b/>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7475"/>
    <w:rPr>
      <w:rFonts w:ascii="Times New Roman" w:eastAsia="Times New Roman" w:hAnsi="Times New Roman" w:cs="Times New Roman"/>
      <w:b/>
      <w:color w:val="000000"/>
      <w:sz w:val="28"/>
      <w:lang w:eastAsia="en-IN"/>
    </w:rPr>
  </w:style>
  <w:style w:type="character" w:customStyle="1" w:styleId="Heading4Char">
    <w:name w:val="Heading 4 Char"/>
    <w:basedOn w:val="DefaultParagraphFont"/>
    <w:link w:val="Heading4"/>
    <w:uiPriority w:val="9"/>
    <w:rsid w:val="008E7475"/>
    <w:rPr>
      <w:rFonts w:ascii="Times New Roman" w:eastAsia="Times New Roman" w:hAnsi="Times New Roman" w:cs="Times New Roman"/>
      <w:b/>
      <w:color w:val="000000"/>
      <w:sz w:val="24"/>
      <w:lang w:eastAsia="en-IN"/>
    </w:rPr>
  </w:style>
  <w:style w:type="table" w:customStyle="1" w:styleId="TableGrid">
    <w:name w:val="TableGrid"/>
    <w:rsid w:val="008E7475"/>
    <w:pPr>
      <w:spacing w:after="0" w:line="240" w:lineRule="auto"/>
    </w:pPr>
    <w:rPr>
      <w:rFonts w:eastAsiaTheme="minorEastAsia"/>
      <w:lang w:eastAsia="en-IN"/>
    </w:rPr>
    <w:tblPr>
      <w:tblCellMar>
        <w:top w:w="0" w:type="dxa"/>
        <w:left w:w="0" w:type="dxa"/>
        <w:bottom w:w="0" w:type="dxa"/>
        <w:right w:w="0" w:type="dxa"/>
      </w:tblCellMar>
    </w:tblPr>
  </w:style>
  <w:style w:type="paragraph" w:styleId="Footer">
    <w:name w:val="footer"/>
    <w:aliases w:val="Footer Char Char Char,Footer Char Char"/>
    <w:basedOn w:val="Normal"/>
    <w:link w:val="FooterChar"/>
    <w:uiPriority w:val="99"/>
    <w:unhideWhenUsed/>
    <w:qFormat/>
    <w:rsid w:val="00AF672A"/>
    <w:pPr>
      <w:tabs>
        <w:tab w:val="center" w:pos="4513"/>
        <w:tab w:val="right" w:pos="9026"/>
      </w:tabs>
      <w:spacing w:after="0" w:line="240" w:lineRule="auto"/>
    </w:pPr>
  </w:style>
  <w:style w:type="character" w:customStyle="1" w:styleId="FooterChar">
    <w:name w:val="Footer Char"/>
    <w:aliases w:val="Footer Char Char Char Char,Footer Char Char Char1"/>
    <w:basedOn w:val="DefaultParagraphFont"/>
    <w:link w:val="Footer"/>
    <w:uiPriority w:val="99"/>
    <w:rsid w:val="00AF672A"/>
  </w:style>
  <w:style w:type="character" w:customStyle="1" w:styleId="Heading3Char">
    <w:name w:val="Heading 3 Char"/>
    <w:basedOn w:val="DefaultParagraphFont"/>
    <w:link w:val="Heading3"/>
    <w:uiPriority w:val="9"/>
    <w:rsid w:val="0029728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97282"/>
    <w:rPr>
      <w:color w:val="0000FF"/>
      <w:u w:val="single"/>
    </w:rPr>
  </w:style>
  <w:style w:type="paragraph" w:styleId="Header">
    <w:name w:val="header"/>
    <w:basedOn w:val="Normal"/>
    <w:link w:val="HeaderChar"/>
    <w:uiPriority w:val="99"/>
    <w:unhideWhenUsed/>
    <w:rsid w:val="0074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023"/>
  </w:style>
  <w:style w:type="paragraph" w:styleId="BalloonText">
    <w:name w:val="Balloon Text"/>
    <w:basedOn w:val="Normal"/>
    <w:link w:val="BalloonTextChar"/>
    <w:uiPriority w:val="99"/>
    <w:semiHidden/>
    <w:unhideWhenUsed/>
    <w:rsid w:val="00741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023"/>
    <w:rPr>
      <w:rFonts w:ascii="Tahoma" w:hAnsi="Tahoma" w:cs="Tahoma"/>
      <w:sz w:val="16"/>
      <w:szCs w:val="16"/>
    </w:rPr>
  </w:style>
  <w:style w:type="table" w:styleId="TableGrid0">
    <w:name w:val="Table Grid"/>
    <w:basedOn w:val="TableNormal"/>
    <w:rsid w:val="004D72BB"/>
    <w:pPr>
      <w:spacing w:after="0" w:line="240" w:lineRule="auto"/>
    </w:pPr>
    <w:rPr>
      <w:rFonts w:ascii="Times New Roman" w:eastAsia="MS Mincho"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782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erChar1">
    <w:name w:val="Header Char1"/>
    <w:uiPriority w:val="99"/>
    <w:rsid w:val="00235E72"/>
    <w:rPr>
      <w:rFonts w:ascii="Calibri" w:eastAsia="Calibri" w:hAnsi="Calibri" w:cs="Times New Roman"/>
      <w:sz w:val="20"/>
      <w:szCs w:val="20"/>
    </w:rPr>
  </w:style>
  <w:style w:type="character" w:customStyle="1" w:styleId="FooterChar1">
    <w:name w:val="Footer Char1"/>
    <w:uiPriority w:val="99"/>
    <w:rsid w:val="00235E72"/>
    <w:rPr>
      <w:rFonts w:ascii="Calibri" w:eastAsia="Calibri" w:hAnsi="Calibri" w:cs="Times New Roman"/>
      <w:sz w:val="20"/>
      <w:szCs w:val="20"/>
    </w:rPr>
  </w:style>
  <w:style w:type="paragraph" w:styleId="BodyText">
    <w:name w:val="Body Text"/>
    <w:basedOn w:val="Normal"/>
    <w:link w:val="BodyTextChar"/>
    <w:uiPriority w:val="1"/>
    <w:qFormat/>
    <w:rsid w:val="00235E72"/>
    <w:pPr>
      <w:widowControl w:val="0"/>
      <w:autoSpaceDE w:val="0"/>
      <w:autoSpaceDN w:val="0"/>
      <w:adjustRightInd w:val="0"/>
      <w:spacing w:after="0" w:line="240" w:lineRule="auto"/>
      <w:ind w:left="140"/>
    </w:pPr>
    <w:rPr>
      <w:rFonts w:ascii="Verdana" w:eastAsia="Times New Roman" w:hAnsi="Verdana" w:cs="Verdana"/>
      <w:sz w:val="24"/>
      <w:szCs w:val="24"/>
      <w:lang w:val="en-US"/>
    </w:rPr>
  </w:style>
  <w:style w:type="character" w:customStyle="1" w:styleId="BodyTextChar">
    <w:name w:val="Body Text Char"/>
    <w:basedOn w:val="DefaultParagraphFont"/>
    <w:link w:val="BodyText"/>
    <w:uiPriority w:val="1"/>
    <w:rsid w:val="00235E72"/>
    <w:rPr>
      <w:rFonts w:ascii="Verdana" w:eastAsia="Times New Roman" w:hAnsi="Verdana" w:cs="Verdana"/>
      <w:sz w:val="24"/>
      <w:szCs w:val="24"/>
      <w:lang w:val="en-US"/>
    </w:rPr>
  </w:style>
  <w:style w:type="paragraph" w:styleId="NoSpacing">
    <w:name w:val="No Spacing"/>
    <w:link w:val="NoSpacingChar"/>
    <w:uiPriority w:val="1"/>
    <w:qFormat/>
    <w:rsid w:val="00235E72"/>
    <w:pPr>
      <w:spacing w:after="0" w:line="240" w:lineRule="auto"/>
    </w:pPr>
    <w:rPr>
      <w:rFonts w:ascii="Calibri" w:eastAsia="Calibri" w:hAnsi="Calibri" w:cs="Times New Roman"/>
    </w:rPr>
  </w:style>
  <w:style w:type="character" w:customStyle="1" w:styleId="NoSpacingChar">
    <w:name w:val="No Spacing Char"/>
    <w:link w:val="NoSpacing"/>
    <w:uiPriority w:val="1"/>
    <w:rsid w:val="00235E7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95637">
      <w:bodyDiv w:val="1"/>
      <w:marLeft w:val="0"/>
      <w:marRight w:val="0"/>
      <w:marTop w:val="0"/>
      <w:marBottom w:val="0"/>
      <w:divBdr>
        <w:top w:val="none" w:sz="0" w:space="0" w:color="auto"/>
        <w:left w:val="none" w:sz="0" w:space="0" w:color="auto"/>
        <w:bottom w:val="none" w:sz="0" w:space="0" w:color="auto"/>
        <w:right w:val="none" w:sz="0" w:space="0" w:color="auto"/>
      </w:divBdr>
    </w:div>
    <w:div w:id="19621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ddtonline.info" TargetMode="Externa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dx.doi.org/10.22270/jddt.v11i2-s.4624%20%20%20%20%20%20%20%20%20%20%20%20%20%20"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10.80.0.1\Data_Drive\Qa\Analytical%20QA\AQA%20status\IPQA\IPQA%20observation%20track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Standard Curve at 225 nm</a:t>
            </a:r>
          </a:p>
        </c:rich>
      </c:tx>
      <c:layout>
        <c:manualLayout>
          <c:xMode val="edge"/>
          <c:yMode val="edge"/>
          <c:x val="0.28771317829457366"/>
          <c:y val="1.7857142857142856E-2"/>
        </c:manualLayout>
      </c:layout>
      <c:overlay val="0"/>
      <c:spPr>
        <a:noFill/>
        <a:ln>
          <a:noFill/>
        </a:ln>
        <a:effectLst/>
      </c:spPr>
    </c:title>
    <c:autoTitleDeleted val="0"/>
    <c:plotArea>
      <c:layout>
        <c:manualLayout>
          <c:layoutTarget val="inner"/>
          <c:xMode val="edge"/>
          <c:yMode val="edge"/>
          <c:x val="0.16595342733321125"/>
          <c:y val="0.18880952380952382"/>
          <c:w val="0.79141091375206007"/>
          <c:h val="0.53872562804649415"/>
        </c:manualLayout>
      </c:layout>
      <c:lineChart>
        <c:grouping val="standard"/>
        <c:varyColors val="0"/>
        <c:ser>
          <c:idx val="0"/>
          <c:order val="0"/>
          <c:tx>
            <c:v>Metformin</c:v>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3139687480925349"/>
                  <c:y val="-0.18285714285714286"/>
                </c:manualLayout>
              </c:layout>
              <c:tx>
                <c:rich>
                  <a:bodyPr rot="0" vert="horz"/>
                  <a:lstStyle/>
                  <a:p>
                    <a:pPr>
                      <a:defRPr/>
                    </a:pPr>
                    <a:r>
                      <a:rPr lang="en-US"/>
                      <a:t>y = 0.2105x + 0.2105</a:t>
                    </a:r>
                    <a:br>
                      <a:rPr lang="en-US"/>
                    </a:br>
                    <a:r>
                      <a:rPr lang="en-US"/>
                      <a:t>R² = 1</a:t>
                    </a:r>
                  </a:p>
                </c:rich>
              </c:tx>
              <c:numFmt formatCode="General" sourceLinked="0"/>
              <c:spPr>
                <a:noFill/>
                <a:ln>
                  <a:noFill/>
                </a:ln>
                <a:effectLst/>
              </c:spPr>
            </c:trendlineLbl>
          </c:trendline>
          <c:cat>
            <c:numRef>
              <c:f>'[IPQA observation tracker.xlsx]Sheet2'!$F$8:$F$13</c:f>
              <c:numCache>
                <c:formatCode>General</c:formatCode>
                <c:ptCount val="6"/>
                <c:pt idx="0">
                  <c:v>5</c:v>
                </c:pt>
                <c:pt idx="1">
                  <c:v>7.5</c:v>
                </c:pt>
                <c:pt idx="2">
                  <c:v>10</c:v>
                </c:pt>
                <c:pt idx="3">
                  <c:v>12.5</c:v>
                </c:pt>
                <c:pt idx="4">
                  <c:v>15</c:v>
                </c:pt>
                <c:pt idx="5">
                  <c:v>17.5</c:v>
                </c:pt>
              </c:numCache>
            </c:numRef>
          </c:cat>
          <c:val>
            <c:numRef>
              <c:f>'[IPQA observation tracker.xlsx]Sheet2'!$G$8:$G$13</c:f>
              <c:numCache>
                <c:formatCode>General</c:formatCode>
                <c:ptCount val="6"/>
                <c:pt idx="0">
                  <c:v>0.42100000000000032</c:v>
                </c:pt>
                <c:pt idx="1">
                  <c:v>0.63149999999999995</c:v>
                </c:pt>
                <c:pt idx="2">
                  <c:v>0.84200000000000064</c:v>
                </c:pt>
                <c:pt idx="3">
                  <c:v>1.0525</c:v>
                </c:pt>
                <c:pt idx="4">
                  <c:v>1.2629999999999975</c:v>
                </c:pt>
                <c:pt idx="5">
                  <c:v>1.4313999999999965</c:v>
                </c:pt>
              </c:numCache>
            </c:numRef>
          </c:val>
          <c:smooth val="0"/>
        </c:ser>
        <c:ser>
          <c:idx val="1"/>
          <c:order val="1"/>
          <c:tx>
            <c:v>Emplagliflozin</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9.9962461087712867E-2"/>
                  <c:y val="0.16192444694413199"/>
                </c:manualLayout>
              </c:layout>
              <c:tx>
                <c:rich>
                  <a:bodyPr rot="0" vert="horz"/>
                  <a:lstStyle/>
                  <a:p>
                    <a:pPr>
                      <a:defRPr/>
                    </a:pPr>
                    <a:r>
                      <a:rPr lang="en-US"/>
                      <a:t>y = 0.144x + 0.144</a:t>
                    </a:r>
                    <a:br>
                      <a:rPr lang="en-US"/>
                    </a:br>
                    <a:r>
                      <a:rPr lang="en-US"/>
                      <a:t>R² = 1</a:t>
                    </a:r>
                  </a:p>
                </c:rich>
              </c:tx>
              <c:numFmt formatCode="General" sourceLinked="0"/>
              <c:spPr>
                <a:noFill/>
                <a:ln>
                  <a:noFill/>
                </a:ln>
                <a:effectLst/>
              </c:spPr>
            </c:trendlineLbl>
          </c:trendline>
          <c:cat>
            <c:numRef>
              <c:f>'[IPQA observation tracker.xlsx]Sheet2'!$F$8:$F$13</c:f>
              <c:numCache>
                <c:formatCode>General</c:formatCode>
                <c:ptCount val="6"/>
                <c:pt idx="0">
                  <c:v>5</c:v>
                </c:pt>
                <c:pt idx="1">
                  <c:v>7.5</c:v>
                </c:pt>
                <c:pt idx="2">
                  <c:v>10</c:v>
                </c:pt>
                <c:pt idx="3">
                  <c:v>12.5</c:v>
                </c:pt>
                <c:pt idx="4">
                  <c:v>15</c:v>
                </c:pt>
                <c:pt idx="5">
                  <c:v>17.5</c:v>
                </c:pt>
              </c:numCache>
            </c:numRef>
          </c:cat>
          <c:val>
            <c:numRef>
              <c:f>'[IPQA observation tracker.xlsx]Sheet2'!$H$8:$H$13</c:f>
              <c:numCache>
                <c:formatCode>General</c:formatCode>
                <c:ptCount val="6"/>
                <c:pt idx="0">
                  <c:v>0.28800000000000031</c:v>
                </c:pt>
                <c:pt idx="1">
                  <c:v>0.43200000000000038</c:v>
                </c:pt>
                <c:pt idx="2">
                  <c:v>0.57600000000000062</c:v>
                </c:pt>
                <c:pt idx="3">
                  <c:v>0.72000000000000064</c:v>
                </c:pt>
                <c:pt idx="4">
                  <c:v>0.86400000000000121</c:v>
                </c:pt>
                <c:pt idx="5">
                  <c:v>1.008</c:v>
                </c:pt>
              </c:numCache>
            </c:numRef>
          </c:val>
          <c:smooth val="0"/>
        </c:ser>
        <c:dLbls>
          <c:showLegendKey val="0"/>
          <c:showVal val="0"/>
          <c:showCatName val="0"/>
          <c:showSerName val="0"/>
          <c:showPercent val="0"/>
          <c:showBubbleSize val="0"/>
        </c:dLbls>
        <c:marker val="1"/>
        <c:smooth val="0"/>
        <c:axId val="274216448"/>
        <c:axId val="276298752"/>
      </c:lineChart>
      <c:catAx>
        <c:axId val="274216448"/>
        <c:scaling>
          <c:orientation val="minMax"/>
        </c:scaling>
        <c:delete val="0"/>
        <c:axPos val="b"/>
        <c:title>
          <c:tx>
            <c:rich>
              <a:bodyPr rot="0" vert="horz"/>
              <a:lstStyle/>
              <a:p>
                <a:pPr algn="ctr" rtl="0">
                  <a:defRPr/>
                </a:pPr>
                <a:r>
                  <a:rPr lang="en-IN"/>
                  <a:t>Concentration (µg/mL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76298752"/>
        <c:crosses val="autoZero"/>
        <c:auto val="1"/>
        <c:lblAlgn val="ctr"/>
        <c:lblOffset val="100"/>
        <c:noMultiLvlLbl val="0"/>
      </c:catAx>
      <c:valAx>
        <c:axId val="276298752"/>
        <c:scaling>
          <c:orientation val="minMax"/>
          <c:max val="1.4"/>
        </c:scaling>
        <c:delete val="0"/>
        <c:axPos val="l"/>
        <c:title>
          <c:tx>
            <c:rich>
              <a:bodyPr rot="-5400000" vert="horz"/>
              <a:lstStyle/>
              <a:p>
                <a:pPr>
                  <a:defRPr/>
                </a:pPr>
                <a:r>
                  <a:rPr lang="en-IN"/>
                  <a:t>Absorbance</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274216448"/>
        <c:crosses val="autoZero"/>
        <c:crossBetween val="between"/>
        <c:minorUnit val="0.2"/>
      </c:valAx>
      <c:spPr>
        <a:noFill/>
        <a:ln>
          <a:noFill/>
        </a:ln>
        <a:effectLst/>
      </c:spPr>
    </c:plotArea>
    <c:legend>
      <c:legendPos val="b"/>
      <c:legendEntry>
        <c:idx val="2"/>
        <c:delete val="1"/>
      </c:legendEntry>
      <c:legendEntry>
        <c:idx val="3"/>
        <c:delete val="1"/>
      </c:legendEntry>
      <c:layout>
        <c:manualLayout>
          <c:xMode val="edge"/>
          <c:yMode val="edge"/>
          <c:x val="0.15802874931331259"/>
          <c:y val="0.89831401283172951"/>
          <c:w val="0.62320515168162127"/>
          <c:h val="0.10168598716827069"/>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EDB7-E89B-44EA-AEB4-DE3031F9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CHAPTER-05: EXPERIMENTAL WORK</vt:lpstr>
    </vt:vector>
  </TitlesOfParts>
  <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CHAPTER-05: EXPERIMENTAL WORK</dc:title>
  <dc:creator>Asheesh Singh</dc:creator>
  <cp:lastModifiedBy>91978</cp:lastModifiedBy>
  <cp:revision>89</cp:revision>
  <cp:lastPrinted>2021-03-21T13:11:00Z</cp:lastPrinted>
  <dcterms:created xsi:type="dcterms:W3CDTF">2021-01-17T10:57:00Z</dcterms:created>
  <dcterms:modified xsi:type="dcterms:W3CDTF">2021-03-21T13:27:00Z</dcterms:modified>
</cp:coreProperties>
</file>